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D43C" w14:textId="06CA9C4D" w:rsidR="009666D4" w:rsidRPr="00B3142E" w:rsidRDefault="009666D4" w:rsidP="009666D4">
      <w:pPr>
        <w:pStyle w:val="Heading3"/>
        <w:rPr>
          <w:rFonts w:ascii="Aptos" w:hAnsi="Aptos"/>
          <w:sz w:val="24"/>
          <w:szCs w:val="24"/>
        </w:rPr>
      </w:pPr>
      <w:bookmarkStart w:id="0" w:name="_Toc188358755"/>
      <w:bookmarkStart w:id="1" w:name="_Toc188359453"/>
      <w:bookmarkStart w:id="2" w:name="_Toc188360169"/>
      <w:bookmarkStart w:id="3" w:name="_Toc188361519"/>
      <w:bookmarkStart w:id="4" w:name="_Toc188361721"/>
      <w:bookmarkStart w:id="5" w:name="_Toc188869660"/>
      <w:bookmarkStart w:id="6" w:name="_Toc188873388"/>
      <w:bookmarkStart w:id="7" w:name="_Toc188876804"/>
      <w:bookmarkStart w:id="8" w:name="_Toc188877800"/>
      <w:bookmarkStart w:id="9" w:name="_Toc188877885"/>
      <w:bookmarkStart w:id="10" w:name="_Toc189049381"/>
      <w:bookmarkStart w:id="11" w:name="_Toc189056373"/>
      <w:bookmarkStart w:id="12" w:name="_Toc189060966"/>
      <w:bookmarkStart w:id="13" w:name="_Toc189061084"/>
      <w:r w:rsidRPr="00B3142E">
        <w:rPr>
          <w:rFonts w:ascii="Aptos" w:hAnsi="Aptos"/>
          <w:noProof/>
          <w:sz w:val="24"/>
          <w:szCs w:val="24"/>
        </w:rPr>
        <w:drawing>
          <wp:inline distT="0" distB="0" distL="0" distR="0" wp14:anchorId="1F069016" wp14:editId="59D25D8E">
            <wp:extent cx="5731510" cy="1356995"/>
            <wp:effectExtent l="0" t="0" r="0" b="1905"/>
            <wp:docPr id="1073903264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3264" name="Picture 1" descr="A logo with a tree and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D86C8AF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6CD8E9C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16E4B085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5E549A7B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6EB75B6A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B3ADF95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6CA00429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51CC791A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2C4EBCFA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63B49730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2218FA82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334F208C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7DA07418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F92C9BD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D52054B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1EA1D97A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4220DEE2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2135B79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3BA8DC7E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581F95B5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4EBF199E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1446AC93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765745A3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0D176DF0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56E13D12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19F0ADD0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4148C8F9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2052CC14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236BEA04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7DFD719E" w14:textId="77777777" w:rsidR="009666D4" w:rsidRPr="00B3142E" w:rsidRDefault="009666D4" w:rsidP="009666D4">
      <w:pPr>
        <w:rPr>
          <w:rFonts w:ascii="Aptos" w:hAnsi="Aptos"/>
          <w:szCs w:val="24"/>
        </w:rPr>
      </w:pPr>
    </w:p>
    <w:p w14:paraId="3FE8BF31" w14:textId="1EF8D2B7" w:rsidR="009666D4" w:rsidRPr="005E49B1" w:rsidRDefault="009666D4" w:rsidP="005E49B1">
      <w:pPr>
        <w:jc w:val="center"/>
        <w:rPr>
          <w:rFonts w:ascii="Aptos" w:hAnsi="Aptos"/>
          <w:i/>
          <w:iCs/>
          <w:color w:val="538135" w:themeColor="accent6" w:themeShade="BF"/>
          <w:sz w:val="40"/>
          <w:szCs w:val="40"/>
        </w:rPr>
      </w:pPr>
      <w:r w:rsidRPr="005E49B1">
        <w:rPr>
          <w:rFonts w:ascii="Aptos" w:hAnsi="Aptos"/>
          <w:i/>
          <w:iCs/>
          <w:color w:val="538135" w:themeColor="accent6" w:themeShade="BF"/>
          <w:sz w:val="40"/>
          <w:szCs w:val="40"/>
        </w:rPr>
        <w:t>Hypotheekaanbieders vergelijken:</w:t>
      </w:r>
    </w:p>
    <w:p w14:paraId="5EFBA413" w14:textId="77777777" w:rsidR="009666D4" w:rsidRPr="005E49B1" w:rsidRDefault="009666D4" w:rsidP="009666D4">
      <w:pPr>
        <w:jc w:val="center"/>
        <w:rPr>
          <w:rFonts w:ascii="Aptos" w:hAnsi="Aptos"/>
          <w:i/>
          <w:iCs/>
          <w:color w:val="538135" w:themeColor="accent6" w:themeShade="BF"/>
          <w:sz w:val="40"/>
          <w:szCs w:val="40"/>
        </w:rPr>
      </w:pPr>
      <w:r w:rsidRPr="005E49B1">
        <w:rPr>
          <w:rFonts w:ascii="Aptos" w:hAnsi="Aptos"/>
          <w:i/>
          <w:iCs/>
          <w:color w:val="538135" w:themeColor="accent6" w:themeShade="BF"/>
          <w:sz w:val="40"/>
          <w:szCs w:val="40"/>
        </w:rPr>
        <w:t>Transparanta Duurzaam financieel advies</w:t>
      </w:r>
    </w:p>
    <w:p w14:paraId="76D24E9B" w14:textId="77777777" w:rsidR="009666D4" w:rsidRPr="00B3142E" w:rsidRDefault="009666D4" w:rsidP="009666D4">
      <w:pPr>
        <w:jc w:val="center"/>
        <w:rPr>
          <w:rFonts w:ascii="Aptos" w:hAnsi="Aptos"/>
          <w:szCs w:val="24"/>
        </w:rPr>
      </w:pPr>
    </w:p>
    <w:p w14:paraId="7D1E8B1D" w14:textId="77777777" w:rsidR="009666D4" w:rsidRPr="00B3142E" w:rsidRDefault="009666D4" w:rsidP="009666D4">
      <w:pPr>
        <w:rPr>
          <w:rFonts w:ascii="Aptos" w:hAnsi="Aptos"/>
          <w:i/>
          <w:iCs/>
          <w:szCs w:val="24"/>
        </w:rPr>
      </w:pPr>
    </w:p>
    <w:p w14:paraId="17CBCCA7" w14:textId="29AF2718" w:rsidR="009666D4" w:rsidRPr="00B3142E" w:rsidRDefault="009666D4" w:rsidP="009666D4">
      <w:pPr>
        <w:rPr>
          <w:rFonts w:ascii="Aptos" w:hAnsi="Aptos"/>
          <w:i/>
          <w:i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42E">
        <w:rPr>
          <w:rFonts w:ascii="Aptos" w:hAnsi="Aptos"/>
          <w:i/>
          <w:iCs/>
          <w:szCs w:val="24"/>
        </w:rPr>
        <w:t>Gemaakt door: Sjoerd van Elsen &amp; Stan Wassink</w:t>
      </w:r>
    </w:p>
    <w:p w14:paraId="0076D28D" w14:textId="77777777" w:rsidR="009666D4" w:rsidRPr="00B3142E" w:rsidRDefault="009666D4" w:rsidP="009666D4">
      <w:pPr>
        <w:rPr>
          <w:rFonts w:ascii="Aptos" w:hAnsi="Aptos"/>
          <w:i/>
          <w:iCs/>
          <w:szCs w:val="24"/>
        </w:rPr>
      </w:pPr>
    </w:p>
    <w:p w14:paraId="69782152" w14:textId="6A7DD825" w:rsidR="009666D4" w:rsidRPr="00B3142E" w:rsidRDefault="009666D4" w:rsidP="009666D4">
      <w:pPr>
        <w:rPr>
          <w:rFonts w:ascii="Aptos" w:hAnsi="Aptos"/>
          <w:i/>
          <w:iCs/>
          <w:szCs w:val="24"/>
        </w:rPr>
      </w:pPr>
      <w:r w:rsidRPr="00B3142E">
        <w:rPr>
          <w:rFonts w:ascii="Aptos" w:hAnsi="Aptos"/>
          <w:i/>
          <w:iCs/>
          <w:szCs w:val="24"/>
        </w:rPr>
        <w:t xml:space="preserve">Laatst gewijzigd: </w:t>
      </w:r>
      <w:r w:rsidR="00C25A1D">
        <w:rPr>
          <w:rFonts w:ascii="Aptos" w:hAnsi="Aptos"/>
          <w:i/>
          <w:iCs/>
          <w:szCs w:val="24"/>
        </w:rPr>
        <w:t>30</w:t>
      </w:r>
      <w:r w:rsidRPr="00B3142E">
        <w:rPr>
          <w:rFonts w:ascii="Aptos" w:hAnsi="Aptos"/>
          <w:i/>
          <w:iCs/>
          <w:szCs w:val="24"/>
        </w:rPr>
        <w:t>-01-2025</w:t>
      </w:r>
      <w:r w:rsidRPr="00B3142E">
        <w:rPr>
          <w:rFonts w:ascii="Aptos" w:hAnsi="Aptos"/>
          <w:color w:val="92D05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5026B34" w14:textId="319C5689" w:rsidR="009666D4" w:rsidRPr="00B3142E" w:rsidRDefault="009666D4" w:rsidP="005E49B1">
      <w:pPr>
        <w:pStyle w:val="Heading1"/>
      </w:pPr>
      <w:bookmarkStart w:id="14" w:name="_Toc189140062"/>
      <w:r w:rsidRPr="00B3142E">
        <w:lastRenderedPageBreak/>
        <w:t>Inhoudsopgave</w:t>
      </w:r>
      <w:bookmarkEnd w:id="14"/>
    </w:p>
    <w:p w14:paraId="4E158D49" w14:textId="056A8EFB" w:rsidR="009739E4" w:rsidRDefault="009666D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r w:rsidRPr="00B3142E">
        <w:rPr>
          <w:rFonts w:ascii="Aptos" w:eastAsiaTheme="majorEastAsia" w:hAnsi="Aptos" w:cstheme="majorBidi"/>
          <w:color w:val="92D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3142E">
        <w:rPr>
          <w:rFonts w:ascii="Aptos" w:eastAsiaTheme="majorEastAsia" w:hAnsi="Aptos" w:cstheme="majorBidi"/>
          <w:color w:val="92D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TOC \o "1-2" \h \z </w:instrText>
      </w:r>
      <w:r w:rsidRPr="00B3142E">
        <w:rPr>
          <w:rFonts w:ascii="Aptos" w:eastAsiaTheme="majorEastAsia" w:hAnsi="Aptos" w:cstheme="majorBidi"/>
          <w:color w:val="92D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hyperlink w:anchor="_Toc189140062" w:history="1">
        <w:r w:rsidR="009739E4" w:rsidRPr="004E77E2">
          <w:rPr>
            <w:rStyle w:val="Hyperlink"/>
            <w:noProof/>
          </w:rPr>
          <w:t>Inhoudsopgave</w:t>
        </w:r>
        <w:r w:rsidR="009739E4">
          <w:rPr>
            <w:noProof/>
            <w:webHidden/>
          </w:rPr>
          <w:tab/>
        </w:r>
        <w:r w:rsidR="009739E4">
          <w:rPr>
            <w:noProof/>
            <w:webHidden/>
          </w:rPr>
          <w:fldChar w:fldCharType="begin"/>
        </w:r>
        <w:r w:rsidR="009739E4">
          <w:rPr>
            <w:noProof/>
            <w:webHidden/>
          </w:rPr>
          <w:instrText xml:space="preserve"> PAGEREF _Toc189140062 \h </w:instrText>
        </w:r>
        <w:r w:rsidR="009739E4">
          <w:rPr>
            <w:noProof/>
            <w:webHidden/>
          </w:rPr>
        </w:r>
        <w:r w:rsidR="009739E4">
          <w:rPr>
            <w:noProof/>
            <w:webHidden/>
          </w:rPr>
          <w:fldChar w:fldCharType="separate"/>
        </w:r>
        <w:r w:rsidR="009739E4">
          <w:rPr>
            <w:noProof/>
            <w:webHidden/>
          </w:rPr>
          <w:t>2</w:t>
        </w:r>
        <w:r w:rsidR="009739E4">
          <w:rPr>
            <w:noProof/>
            <w:webHidden/>
          </w:rPr>
          <w:fldChar w:fldCharType="end"/>
        </w:r>
      </w:hyperlink>
    </w:p>
    <w:p w14:paraId="2BDA18F1" w14:textId="7D6E51BE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3" w:history="1">
        <w:r w:rsidRPr="004E77E2">
          <w:rPr>
            <w:rStyle w:val="Hyperlink"/>
            <w:rFonts w:ascii="Aptos" w:hAnsi="Aptos"/>
            <w:noProof/>
          </w:rPr>
          <w:t>Scorematrix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FB8CD8" w14:textId="4D82CF18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4" w:history="1">
        <w:r w:rsidRPr="004E77E2">
          <w:rPr>
            <w:rStyle w:val="Hyperlink"/>
            <w:rFonts w:eastAsia="Times New Roman"/>
            <w:noProof/>
            <w:lang w:eastAsia="nl-NL"/>
          </w:rPr>
          <w:t>1. ABN AMRO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573C9F" w14:textId="22D70830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5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BD66CB" w14:textId="41A0ACB8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6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1D5B14" w14:textId="6F4B26C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7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3BE63C" w14:textId="649E43CB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8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FC48B7" w14:textId="5F730959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69" w:history="1">
        <w:r w:rsidRPr="004E77E2">
          <w:rPr>
            <w:rStyle w:val="Hyperlink"/>
            <w:rFonts w:eastAsia="Times New Roman"/>
            <w:noProof/>
            <w:lang w:eastAsia="nl-NL"/>
          </w:rPr>
          <w:t>2. Rabobank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7E61CF" w14:textId="648D92D2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0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8.0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7B070F" w14:textId="4BE046B3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1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CAA185" w14:textId="201D6A90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2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A32157" w14:textId="7D6C964E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3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42DF05" w14:textId="26454B2F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4" w:history="1">
        <w:r w:rsidRPr="004E77E2">
          <w:rPr>
            <w:rStyle w:val="Hyperlink"/>
            <w:rFonts w:eastAsia="Times New Roman"/>
            <w:noProof/>
            <w:lang w:eastAsia="nl-NL"/>
          </w:rPr>
          <w:t>3. BLG Wonen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72A98B" w14:textId="6A136F0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5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DF1475" w14:textId="1E57D2FA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6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20B9F9" w14:textId="504ADA3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7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8B6DC3" w14:textId="26267FFD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8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5.8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FE7F53" w14:textId="2236E4BE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79" w:history="1">
        <w:r w:rsidRPr="004E77E2">
          <w:rPr>
            <w:rStyle w:val="Hyperlink"/>
            <w:noProof/>
          </w:rPr>
          <w:t>4. Regiobank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675072" w14:textId="787DC3F4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0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6.7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85EF37" w14:textId="431A252F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1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370DF6" w14:textId="42F47DCA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2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1F6F4F" w14:textId="56D58666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3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EFDF47B" w14:textId="2BED8B8A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4" w:history="1">
        <w:r w:rsidRPr="004E77E2">
          <w:rPr>
            <w:rStyle w:val="Hyperlink"/>
            <w:rFonts w:eastAsia="Times New Roman"/>
            <w:noProof/>
            <w:lang w:eastAsia="nl-NL"/>
          </w:rPr>
          <w:t>5. Triodos Bank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98D0CD" w14:textId="76BF879F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5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9.5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8F1233" w14:textId="169FAC1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6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9.8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BA248A" w14:textId="400E447E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7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3189F46" w14:textId="435C330A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8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9.7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A2EB71" w14:textId="267D91CB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89" w:history="1">
        <w:r w:rsidRPr="004E77E2">
          <w:rPr>
            <w:rStyle w:val="Hyperlink"/>
            <w:rFonts w:eastAsia="Times New Roman"/>
            <w:noProof/>
            <w:lang w:eastAsia="nl-NL"/>
          </w:rPr>
          <w:t>6. MUNT Hypotheken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F2F0B91" w14:textId="0BED6A3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0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ADB9863" w14:textId="6F97D9D1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1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9.2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71D839" w14:textId="31974628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2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9.0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80B668" w14:textId="421EE4EB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3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8.7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3E29A5C" w14:textId="6F1F2B91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4" w:history="1">
        <w:r w:rsidRPr="004E77E2">
          <w:rPr>
            <w:rStyle w:val="Hyperlink"/>
            <w:noProof/>
          </w:rPr>
          <w:t>7. Philips Pensioenfonds Hypotheken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488873" w14:textId="69A7ECD8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5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A77320" w14:textId="2641EC10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6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6.3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F87A2D" w14:textId="615EABB8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7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73EB3C" w14:textId="513BDBE9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8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5.5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B14434D" w14:textId="79F72652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099" w:history="1">
        <w:r w:rsidRPr="004E77E2">
          <w:rPr>
            <w:rStyle w:val="Hyperlink"/>
            <w:rFonts w:eastAsia="Times New Roman"/>
            <w:noProof/>
            <w:lang w:eastAsia="nl-NL"/>
          </w:rPr>
          <w:t>8. Aegon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66A708" w14:textId="738B8CAC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0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422B160" w14:textId="3E9E0D63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1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1FB970D" w14:textId="7EFFF5ED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2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BDEAC22" w14:textId="7B5120D6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3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7.5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7E6918" w14:textId="7CF49859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4" w:history="1">
        <w:r w:rsidRPr="004E77E2">
          <w:rPr>
            <w:rStyle w:val="Hyperlink"/>
            <w:rFonts w:eastAsia="Times New Roman"/>
            <w:noProof/>
            <w:lang w:eastAsia="nl-NL"/>
          </w:rPr>
          <w:t>9. Centraal Beheer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492A844" w14:textId="204EBAE4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5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94E1DC9" w14:textId="04A96059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6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6.8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D95CC4" w14:textId="704B9786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7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1C8C69D" w14:textId="7F8D8654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8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6.7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E782EBC" w14:textId="092EB3A8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09" w:history="1">
        <w:r w:rsidRPr="004E77E2">
          <w:rPr>
            <w:rStyle w:val="Hyperlink"/>
            <w:rFonts w:eastAsia="Times New Roman"/>
            <w:noProof/>
            <w:lang w:eastAsia="nl-NL"/>
          </w:rPr>
          <w:t>10. Obvion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3A59088" w14:textId="21D8874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10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Duurzaamheidsbeleid (32,5%) - Score: 7.3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1A67EA8" w14:textId="0105B1A7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11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Milieuvriendelijke initiatieven (32,5%) - Score: 7.2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B55D74A" w14:textId="36B4DA51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12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Duurzame financiële producten (15%) - Score: 6.9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730E6B5" w14:textId="3E445E84" w:rsidR="009739E4" w:rsidRDefault="009739E4">
      <w:pPr>
        <w:pStyle w:val="TOC2"/>
        <w:tabs>
          <w:tab w:val="right" w:leader="dot" w:pos="9056"/>
        </w:tabs>
        <w:rPr>
          <w:rFonts w:eastAsiaTheme="minorEastAsia" w:cstheme="minorBidi"/>
          <w:small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13" w:history="1">
        <w:r w:rsidRPr="004E77E2">
          <w:rPr>
            <w:rStyle w:val="Hyperlink"/>
            <w:rFonts w:ascii="Aptos" w:eastAsia="Times New Roman" w:hAnsi="Aptos"/>
            <w:noProof/>
            <w:lang w:eastAsia="nl-NL"/>
          </w:rPr>
          <w:t>Klimaatrisico’s (20%) - Score: 7.0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A0F89C4" w14:textId="3915D38C" w:rsidR="009739E4" w:rsidRDefault="009739E4">
      <w:pPr>
        <w:pStyle w:val="TOC1"/>
        <w:tabs>
          <w:tab w:val="right" w:leader="dot" w:pos="9056"/>
        </w:tabs>
        <w:rPr>
          <w:rFonts w:eastAsiaTheme="minorEastAsia" w:cstheme="minorBidi"/>
          <w:b w:val="0"/>
          <w:bCs w:val="0"/>
          <w:caps w:val="0"/>
          <w:noProof/>
          <w:color w:val="auto"/>
          <w:kern w:val="2"/>
          <w:sz w:val="24"/>
          <w:szCs w:val="24"/>
          <w:lang w:val="en-NL" w:eastAsia="en-GB"/>
          <w14:ligatures w14:val="standardContextual"/>
        </w:rPr>
      </w:pPr>
      <w:hyperlink w:anchor="_Toc189140114" w:history="1">
        <w:r w:rsidRPr="004E77E2">
          <w:rPr>
            <w:rStyle w:val="Hyperlink"/>
            <w:rFonts w:eastAsia="Times New Roman"/>
            <w:noProof/>
            <w:lang w:eastAsia="nl-NL"/>
          </w:rPr>
          <w:t>Bronnenlijst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7B21F05" w14:textId="01250025" w:rsidR="009666D4" w:rsidRPr="00B3142E" w:rsidRDefault="009666D4" w:rsidP="009666D4">
      <w:pPr>
        <w:rPr>
          <w:rFonts w:ascii="Aptos" w:eastAsiaTheme="majorEastAsia" w:hAnsi="Aptos" w:cstheme="majorBidi"/>
          <w:color w:val="92D05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142E">
        <w:rPr>
          <w:rFonts w:ascii="Aptos" w:eastAsiaTheme="majorEastAsia" w:hAnsi="Aptos" w:cstheme="majorBidi"/>
          <w:color w:val="92D050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45499C1A" w14:textId="6E321143" w:rsidR="009666D4" w:rsidRPr="00B3142E" w:rsidRDefault="009666D4" w:rsidP="009666D4">
      <w:pPr>
        <w:pStyle w:val="Heading1"/>
        <w:rPr>
          <w:rFonts w:ascii="Aptos" w:hAnsi="Aptos"/>
          <w:sz w:val="24"/>
          <w:szCs w:val="24"/>
        </w:rPr>
      </w:pPr>
      <w:r w:rsidRPr="00B3142E">
        <w:rPr>
          <w:rFonts w:ascii="Aptos" w:hAnsi="Aptos"/>
          <w:sz w:val="24"/>
          <w:szCs w:val="24"/>
        </w:rPr>
        <w:br w:type="page"/>
      </w:r>
      <w:bookmarkStart w:id="15" w:name="_Toc189140063"/>
      <w:r w:rsidRPr="00B3142E">
        <w:rPr>
          <w:rFonts w:ascii="Aptos" w:hAnsi="Aptos"/>
          <w:sz w:val="24"/>
          <w:szCs w:val="24"/>
        </w:rPr>
        <w:lastRenderedPageBreak/>
        <w:t>Scorematrix</w:t>
      </w:r>
      <w:bookmarkEnd w:id="15"/>
    </w:p>
    <w:p w14:paraId="0DD53456" w14:textId="77777777" w:rsidR="009666D4" w:rsidRPr="00B3142E" w:rsidRDefault="009666D4">
      <w:pPr>
        <w:rPr>
          <w:rFonts w:ascii="Aptos" w:hAnsi="Aptos"/>
          <w:szCs w:val="24"/>
        </w:rPr>
      </w:pPr>
    </w:p>
    <w:tbl>
      <w:tblPr>
        <w:tblStyle w:val="GridTable5Dark-Accent6"/>
        <w:tblW w:w="9056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1417"/>
        <w:gridCol w:w="1123"/>
      </w:tblGrid>
      <w:tr w:rsidR="00C1007E" w:rsidRPr="00B3142E" w14:paraId="091AD5B5" w14:textId="77777777" w:rsidTr="00C10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60C100B" w14:textId="63202046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Hypotheek</w:t>
            </w:r>
            <w:r w:rsidR="00C1007E"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</w:t>
            </w: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aanbieders</w:t>
            </w:r>
          </w:p>
        </w:tc>
        <w:tc>
          <w:tcPr>
            <w:tcW w:w="1701" w:type="dxa"/>
            <w:hideMark/>
          </w:tcPr>
          <w:p w14:paraId="37D0328A" w14:textId="72CDFAEC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Duurzaam</w:t>
            </w:r>
            <w:r w:rsidR="00C1007E"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</w:t>
            </w:r>
            <w:proofErr w:type="spellStart"/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heidsbeleid</w:t>
            </w:r>
            <w:proofErr w:type="spellEnd"/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(32,5%)</w:t>
            </w:r>
          </w:p>
        </w:tc>
        <w:tc>
          <w:tcPr>
            <w:tcW w:w="1560" w:type="dxa"/>
            <w:hideMark/>
          </w:tcPr>
          <w:p w14:paraId="492FA8FB" w14:textId="12BF0EE5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proofErr w:type="gramStart"/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Milieu</w:t>
            </w:r>
            <w:r w:rsidR="00C1007E"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</w:t>
            </w: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vriendelijke</w:t>
            </w:r>
            <w:proofErr w:type="gramEnd"/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initiatieven (32,5%)</w:t>
            </w:r>
          </w:p>
        </w:tc>
        <w:tc>
          <w:tcPr>
            <w:tcW w:w="1559" w:type="dxa"/>
            <w:hideMark/>
          </w:tcPr>
          <w:p w14:paraId="44727EA6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Duurzame financiële producten (15%)</w:t>
            </w:r>
          </w:p>
        </w:tc>
        <w:tc>
          <w:tcPr>
            <w:tcW w:w="1417" w:type="dxa"/>
            <w:hideMark/>
          </w:tcPr>
          <w:p w14:paraId="77717B7F" w14:textId="5B6A294B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Klimaat</w:t>
            </w:r>
            <w:r w:rsidR="00C1007E" w:rsidRPr="00B3142E">
              <w:rPr>
                <w:rFonts w:ascii="Aptos" w:eastAsia="Times New Roman" w:hAnsi="Aptos" w:cs="Arial"/>
                <w:szCs w:val="24"/>
                <w:lang w:eastAsia="nl-NL"/>
              </w:rPr>
              <w:t xml:space="preserve"> </w:t>
            </w: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risico’s (20%)</w:t>
            </w:r>
          </w:p>
        </w:tc>
        <w:tc>
          <w:tcPr>
            <w:tcW w:w="1123" w:type="dxa"/>
            <w:hideMark/>
          </w:tcPr>
          <w:p w14:paraId="579BA521" w14:textId="0AD2FE15" w:rsidR="00C1007E" w:rsidRPr="00B3142E" w:rsidRDefault="009147ED" w:rsidP="009147ED">
            <w:pPr>
              <w:spacing w:before="100" w:beforeAutospacing="1" w:after="100" w:afterAutospacing="1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b w:val="0"/>
                <w:szCs w:val="24"/>
                <w:lang w:eastAsia="nl-NL"/>
              </w:rPr>
            </w:pPr>
            <w:proofErr w:type="gramStart"/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T</w:t>
            </w:r>
            <w:r w:rsidR="00C1007E" w:rsidRPr="00B3142E">
              <w:rPr>
                <w:rFonts w:ascii="Aptos" w:eastAsia="Times New Roman" w:hAnsi="Aptos" w:cs="Arial"/>
                <w:szCs w:val="24"/>
                <w:lang w:eastAsia="nl-NL"/>
              </w:rPr>
              <w:t>otaal score</w:t>
            </w:r>
            <w:proofErr w:type="gramEnd"/>
          </w:p>
        </w:tc>
      </w:tr>
      <w:tr w:rsidR="00C1007E" w:rsidRPr="00B3142E" w14:paraId="0FBB595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58537C0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ABN AMRO</w:t>
            </w:r>
          </w:p>
        </w:tc>
        <w:tc>
          <w:tcPr>
            <w:tcW w:w="1701" w:type="dxa"/>
            <w:hideMark/>
          </w:tcPr>
          <w:p w14:paraId="42B8A707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7.5</w:t>
            </w:r>
          </w:p>
        </w:tc>
        <w:tc>
          <w:tcPr>
            <w:tcW w:w="1560" w:type="dxa"/>
            <w:hideMark/>
          </w:tcPr>
          <w:p w14:paraId="40EC8F0F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</w:t>
            </w:r>
          </w:p>
        </w:tc>
        <w:tc>
          <w:tcPr>
            <w:tcW w:w="1559" w:type="dxa"/>
            <w:hideMark/>
          </w:tcPr>
          <w:p w14:paraId="4E391248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6.5</w:t>
            </w:r>
          </w:p>
        </w:tc>
        <w:tc>
          <w:tcPr>
            <w:tcW w:w="1417" w:type="dxa"/>
            <w:hideMark/>
          </w:tcPr>
          <w:p w14:paraId="7E7F3A35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6.8</w:t>
            </w:r>
          </w:p>
        </w:tc>
        <w:tc>
          <w:tcPr>
            <w:tcW w:w="1123" w:type="dxa"/>
            <w:hideMark/>
          </w:tcPr>
          <w:p w14:paraId="71E8EC3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7.05</w:t>
            </w:r>
          </w:p>
        </w:tc>
      </w:tr>
      <w:tr w:rsidR="00C1007E" w:rsidRPr="00B3142E" w14:paraId="50D3D0C2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15F4A94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Rabobank</w:t>
            </w:r>
          </w:p>
        </w:tc>
        <w:tc>
          <w:tcPr>
            <w:tcW w:w="1701" w:type="dxa"/>
            <w:hideMark/>
          </w:tcPr>
          <w:p w14:paraId="5FBCDFC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8.0</w:t>
            </w:r>
          </w:p>
        </w:tc>
        <w:tc>
          <w:tcPr>
            <w:tcW w:w="1560" w:type="dxa"/>
            <w:hideMark/>
          </w:tcPr>
          <w:p w14:paraId="6BE221E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7.5</w:t>
            </w:r>
          </w:p>
        </w:tc>
        <w:tc>
          <w:tcPr>
            <w:tcW w:w="1559" w:type="dxa"/>
            <w:hideMark/>
          </w:tcPr>
          <w:p w14:paraId="5D3C36E5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</w:t>
            </w:r>
          </w:p>
        </w:tc>
        <w:tc>
          <w:tcPr>
            <w:tcW w:w="1417" w:type="dxa"/>
            <w:hideMark/>
          </w:tcPr>
          <w:p w14:paraId="6A12D910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7.2</w:t>
            </w:r>
          </w:p>
        </w:tc>
        <w:tc>
          <w:tcPr>
            <w:tcW w:w="1123" w:type="dxa"/>
            <w:hideMark/>
          </w:tcPr>
          <w:p w14:paraId="701E2DE6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7.53</w:t>
            </w:r>
          </w:p>
        </w:tc>
      </w:tr>
      <w:tr w:rsidR="00C1007E" w:rsidRPr="00B3142E" w14:paraId="46D10267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8FC743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BLG Wonen</w:t>
            </w:r>
          </w:p>
        </w:tc>
        <w:tc>
          <w:tcPr>
            <w:tcW w:w="1701" w:type="dxa"/>
            <w:hideMark/>
          </w:tcPr>
          <w:p w14:paraId="38038F11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6.5</w:t>
            </w:r>
          </w:p>
        </w:tc>
        <w:tc>
          <w:tcPr>
            <w:tcW w:w="1560" w:type="dxa"/>
            <w:hideMark/>
          </w:tcPr>
          <w:p w14:paraId="7B944947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6.8</w:t>
            </w:r>
          </w:p>
        </w:tc>
        <w:tc>
          <w:tcPr>
            <w:tcW w:w="1559" w:type="dxa"/>
            <w:hideMark/>
          </w:tcPr>
          <w:p w14:paraId="02CC1B4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6.0</w:t>
            </w:r>
          </w:p>
        </w:tc>
        <w:tc>
          <w:tcPr>
            <w:tcW w:w="1417" w:type="dxa"/>
            <w:hideMark/>
          </w:tcPr>
          <w:p w14:paraId="6B3F87F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5.8</w:t>
            </w:r>
          </w:p>
        </w:tc>
        <w:tc>
          <w:tcPr>
            <w:tcW w:w="1123" w:type="dxa"/>
            <w:hideMark/>
          </w:tcPr>
          <w:p w14:paraId="7F504E1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6.38</w:t>
            </w:r>
          </w:p>
        </w:tc>
      </w:tr>
      <w:tr w:rsidR="00C1007E" w:rsidRPr="00B3142E" w14:paraId="1BCEFAEE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B5603D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Regiobank</w:t>
            </w:r>
          </w:p>
        </w:tc>
        <w:tc>
          <w:tcPr>
            <w:tcW w:w="1701" w:type="dxa"/>
            <w:hideMark/>
          </w:tcPr>
          <w:p w14:paraId="0DDECB9E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6.7</w:t>
            </w:r>
          </w:p>
        </w:tc>
        <w:tc>
          <w:tcPr>
            <w:tcW w:w="1560" w:type="dxa"/>
            <w:hideMark/>
          </w:tcPr>
          <w:p w14:paraId="373624D2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6.5</w:t>
            </w:r>
          </w:p>
        </w:tc>
        <w:tc>
          <w:tcPr>
            <w:tcW w:w="1559" w:type="dxa"/>
            <w:hideMark/>
          </w:tcPr>
          <w:p w14:paraId="332F5D83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6.3</w:t>
            </w:r>
          </w:p>
        </w:tc>
        <w:tc>
          <w:tcPr>
            <w:tcW w:w="1417" w:type="dxa"/>
            <w:hideMark/>
          </w:tcPr>
          <w:p w14:paraId="3B23408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6.0</w:t>
            </w:r>
          </w:p>
        </w:tc>
        <w:tc>
          <w:tcPr>
            <w:tcW w:w="1123" w:type="dxa"/>
            <w:hideMark/>
          </w:tcPr>
          <w:p w14:paraId="526F885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6.44</w:t>
            </w:r>
          </w:p>
        </w:tc>
      </w:tr>
      <w:tr w:rsidR="00C1007E" w:rsidRPr="00B3142E" w14:paraId="7E2D5D0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6E7D3734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Triodos Bank</w:t>
            </w:r>
          </w:p>
        </w:tc>
        <w:tc>
          <w:tcPr>
            <w:tcW w:w="1701" w:type="dxa"/>
            <w:hideMark/>
          </w:tcPr>
          <w:p w14:paraId="54BBAF50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9.5</w:t>
            </w:r>
          </w:p>
        </w:tc>
        <w:tc>
          <w:tcPr>
            <w:tcW w:w="1560" w:type="dxa"/>
            <w:hideMark/>
          </w:tcPr>
          <w:p w14:paraId="3F417FC8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9.8</w:t>
            </w:r>
          </w:p>
        </w:tc>
        <w:tc>
          <w:tcPr>
            <w:tcW w:w="1559" w:type="dxa"/>
            <w:hideMark/>
          </w:tcPr>
          <w:p w14:paraId="4ECFEED3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9.0</w:t>
            </w:r>
          </w:p>
        </w:tc>
        <w:tc>
          <w:tcPr>
            <w:tcW w:w="1417" w:type="dxa"/>
            <w:hideMark/>
          </w:tcPr>
          <w:p w14:paraId="1A0A0652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9.7</w:t>
            </w:r>
          </w:p>
        </w:tc>
        <w:tc>
          <w:tcPr>
            <w:tcW w:w="1123" w:type="dxa"/>
            <w:hideMark/>
          </w:tcPr>
          <w:p w14:paraId="0DA14053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/>
                <w:bCs w:val="0"/>
                <w:szCs w:val="24"/>
                <w:lang w:eastAsia="nl-NL"/>
              </w:rPr>
              <w:t>9.56</w:t>
            </w:r>
          </w:p>
        </w:tc>
      </w:tr>
      <w:tr w:rsidR="00C1007E" w:rsidRPr="00B3142E" w14:paraId="01849762" w14:textId="77777777" w:rsidTr="00C1007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2D56F48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MUNT Hypotheken</w:t>
            </w:r>
          </w:p>
        </w:tc>
        <w:tc>
          <w:tcPr>
            <w:tcW w:w="1701" w:type="dxa"/>
            <w:hideMark/>
          </w:tcPr>
          <w:p w14:paraId="7BF03CE7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9.0</w:t>
            </w:r>
          </w:p>
        </w:tc>
        <w:tc>
          <w:tcPr>
            <w:tcW w:w="1560" w:type="dxa"/>
            <w:hideMark/>
          </w:tcPr>
          <w:p w14:paraId="4A5D63E7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9.2</w:t>
            </w:r>
          </w:p>
        </w:tc>
        <w:tc>
          <w:tcPr>
            <w:tcW w:w="1559" w:type="dxa"/>
            <w:hideMark/>
          </w:tcPr>
          <w:p w14:paraId="7BCE63A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9.0</w:t>
            </w:r>
          </w:p>
        </w:tc>
        <w:tc>
          <w:tcPr>
            <w:tcW w:w="1417" w:type="dxa"/>
            <w:hideMark/>
          </w:tcPr>
          <w:p w14:paraId="37D26D4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8.7</w:t>
            </w:r>
          </w:p>
        </w:tc>
        <w:tc>
          <w:tcPr>
            <w:tcW w:w="1123" w:type="dxa"/>
            <w:hideMark/>
          </w:tcPr>
          <w:p w14:paraId="1EB78561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b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/>
                <w:bCs w:val="0"/>
                <w:szCs w:val="24"/>
                <w:lang w:eastAsia="nl-NL"/>
              </w:rPr>
              <w:t>9.01</w:t>
            </w:r>
          </w:p>
        </w:tc>
      </w:tr>
      <w:tr w:rsidR="00C1007E" w:rsidRPr="00B3142E" w14:paraId="43588AD8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56B04678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Philips Pensioenfonds Hypotheken</w:t>
            </w:r>
          </w:p>
        </w:tc>
        <w:tc>
          <w:tcPr>
            <w:tcW w:w="1701" w:type="dxa"/>
            <w:hideMark/>
          </w:tcPr>
          <w:p w14:paraId="438C4874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6.0</w:t>
            </w:r>
          </w:p>
        </w:tc>
        <w:tc>
          <w:tcPr>
            <w:tcW w:w="1560" w:type="dxa"/>
            <w:hideMark/>
          </w:tcPr>
          <w:p w14:paraId="77C46DC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6.3</w:t>
            </w:r>
          </w:p>
        </w:tc>
        <w:tc>
          <w:tcPr>
            <w:tcW w:w="1559" w:type="dxa"/>
            <w:hideMark/>
          </w:tcPr>
          <w:p w14:paraId="45B4F4E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6.0</w:t>
            </w:r>
          </w:p>
        </w:tc>
        <w:tc>
          <w:tcPr>
            <w:tcW w:w="1417" w:type="dxa"/>
            <w:hideMark/>
          </w:tcPr>
          <w:p w14:paraId="4A248BB3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5.5</w:t>
            </w:r>
          </w:p>
        </w:tc>
        <w:tc>
          <w:tcPr>
            <w:tcW w:w="1123" w:type="dxa"/>
            <w:hideMark/>
          </w:tcPr>
          <w:p w14:paraId="771031EF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5.99</w:t>
            </w:r>
          </w:p>
        </w:tc>
      </w:tr>
      <w:tr w:rsidR="00C1007E" w:rsidRPr="00B3142E" w14:paraId="46E120D2" w14:textId="77777777" w:rsidTr="00C1007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6D36566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Aegon</w:t>
            </w:r>
          </w:p>
        </w:tc>
        <w:tc>
          <w:tcPr>
            <w:tcW w:w="1701" w:type="dxa"/>
            <w:hideMark/>
          </w:tcPr>
          <w:p w14:paraId="66E5C73B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7.2</w:t>
            </w:r>
          </w:p>
        </w:tc>
        <w:tc>
          <w:tcPr>
            <w:tcW w:w="1560" w:type="dxa"/>
            <w:hideMark/>
          </w:tcPr>
          <w:p w14:paraId="1818FFB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</w:t>
            </w:r>
          </w:p>
        </w:tc>
        <w:tc>
          <w:tcPr>
            <w:tcW w:w="1559" w:type="dxa"/>
            <w:hideMark/>
          </w:tcPr>
          <w:p w14:paraId="12171528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6.8</w:t>
            </w:r>
          </w:p>
        </w:tc>
        <w:tc>
          <w:tcPr>
            <w:tcW w:w="1417" w:type="dxa"/>
            <w:hideMark/>
          </w:tcPr>
          <w:p w14:paraId="1A9354CF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7.5</w:t>
            </w:r>
          </w:p>
        </w:tc>
        <w:tc>
          <w:tcPr>
            <w:tcW w:w="1123" w:type="dxa"/>
            <w:hideMark/>
          </w:tcPr>
          <w:p w14:paraId="2129424C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7.14</w:t>
            </w:r>
          </w:p>
        </w:tc>
      </w:tr>
      <w:tr w:rsidR="00C1007E" w:rsidRPr="00B3142E" w14:paraId="42883810" w14:textId="77777777" w:rsidTr="00C10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45B4EF81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Centraal Beheer</w:t>
            </w:r>
          </w:p>
        </w:tc>
        <w:tc>
          <w:tcPr>
            <w:tcW w:w="1701" w:type="dxa"/>
            <w:hideMark/>
          </w:tcPr>
          <w:p w14:paraId="49551230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</w:t>
            </w:r>
          </w:p>
        </w:tc>
        <w:tc>
          <w:tcPr>
            <w:tcW w:w="1560" w:type="dxa"/>
            <w:hideMark/>
          </w:tcPr>
          <w:p w14:paraId="5FA78B9C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6.8</w:t>
            </w:r>
          </w:p>
        </w:tc>
        <w:tc>
          <w:tcPr>
            <w:tcW w:w="1559" w:type="dxa"/>
            <w:hideMark/>
          </w:tcPr>
          <w:p w14:paraId="39A3C726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6.5</w:t>
            </w:r>
          </w:p>
        </w:tc>
        <w:tc>
          <w:tcPr>
            <w:tcW w:w="1417" w:type="dxa"/>
            <w:hideMark/>
          </w:tcPr>
          <w:p w14:paraId="5B1BD0B9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6.7</w:t>
            </w:r>
          </w:p>
        </w:tc>
        <w:tc>
          <w:tcPr>
            <w:tcW w:w="1123" w:type="dxa"/>
            <w:hideMark/>
          </w:tcPr>
          <w:p w14:paraId="552333D4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6.80</w:t>
            </w:r>
          </w:p>
        </w:tc>
      </w:tr>
      <w:tr w:rsidR="00C1007E" w:rsidRPr="00B3142E" w14:paraId="132B01B0" w14:textId="77777777" w:rsidTr="00C1007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7EDB94CD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rPr>
                <w:rFonts w:ascii="Aptos" w:eastAsia="Times New Roman" w:hAnsi="Aptos" w:cs="Arial"/>
                <w:bCs w:val="0"/>
                <w:szCs w:val="24"/>
                <w:lang w:eastAsia="nl-NL"/>
              </w:rPr>
            </w:pPr>
            <w:proofErr w:type="spellStart"/>
            <w:r w:rsidRPr="00B3142E">
              <w:rPr>
                <w:rFonts w:ascii="Aptos" w:eastAsia="Times New Roman" w:hAnsi="Aptos" w:cs="Arial"/>
                <w:bCs w:val="0"/>
                <w:szCs w:val="24"/>
                <w:lang w:eastAsia="nl-NL"/>
              </w:rPr>
              <w:t>Obvion</w:t>
            </w:r>
            <w:proofErr w:type="spellEnd"/>
          </w:p>
        </w:tc>
        <w:tc>
          <w:tcPr>
            <w:tcW w:w="1701" w:type="dxa"/>
            <w:hideMark/>
          </w:tcPr>
          <w:p w14:paraId="48E87841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7.3</w:t>
            </w:r>
          </w:p>
        </w:tc>
        <w:tc>
          <w:tcPr>
            <w:tcW w:w="1560" w:type="dxa"/>
            <w:hideMark/>
          </w:tcPr>
          <w:p w14:paraId="195A3227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7.2</w:t>
            </w:r>
          </w:p>
        </w:tc>
        <w:tc>
          <w:tcPr>
            <w:tcW w:w="1559" w:type="dxa"/>
            <w:hideMark/>
          </w:tcPr>
          <w:p w14:paraId="3442C228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6.9</w:t>
            </w:r>
          </w:p>
        </w:tc>
        <w:tc>
          <w:tcPr>
            <w:tcW w:w="1417" w:type="dxa"/>
            <w:hideMark/>
          </w:tcPr>
          <w:p w14:paraId="001F5705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7.0</w:t>
            </w:r>
          </w:p>
        </w:tc>
        <w:tc>
          <w:tcPr>
            <w:tcW w:w="1123" w:type="dxa"/>
            <w:hideMark/>
          </w:tcPr>
          <w:p w14:paraId="4D5A102A" w14:textId="77777777" w:rsidR="009147ED" w:rsidRPr="00B3142E" w:rsidRDefault="009147ED" w:rsidP="009147ED">
            <w:pPr>
              <w:spacing w:before="100" w:beforeAutospacing="1" w:after="100" w:afterAutospacing="1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Arial"/>
                <w:szCs w:val="24"/>
                <w:lang w:eastAsia="nl-NL"/>
              </w:rPr>
            </w:pPr>
            <w:r w:rsidRPr="00B3142E">
              <w:rPr>
                <w:rFonts w:ascii="Aptos" w:eastAsia="Times New Roman" w:hAnsi="Aptos" w:cs="Arial"/>
                <w:szCs w:val="24"/>
                <w:lang w:eastAsia="nl-NL"/>
              </w:rPr>
              <w:t>7.15</w:t>
            </w:r>
          </w:p>
        </w:tc>
      </w:tr>
    </w:tbl>
    <w:p w14:paraId="5447B6F2" w14:textId="77777777" w:rsidR="00FF20F8" w:rsidRPr="00B3142E" w:rsidRDefault="00FF20F8" w:rsidP="00CC4C53">
      <w:pPr>
        <w:spacing w:before="100" w:beforeAutospacing="1" w:after="100" w:afterAutospacing="1"/>
        <w:outlineLvl w:val="2"/>
        <w:rPr>
          <w:rFonts w:ascii="Aptos" w:eastAsia="Times New Roman" w:hAnsi="Aptos" w:cs="Arial"/>
          <w:b/>
          <w:bCs w:val="0"/>
          <w:szCs w:val="24"/>
          <w:lang w:eastAsia="nl-NL"/>
        </w:rPr>
      </w:pPr>
    </w:p>
    <w:p w14:paraId="3208DE1A" w14:textId="77777777" w:rsidR="00FF20F8" w:rsidRPr="00B3142E" w:rsidRDefault="00FF20F8">
      <w:pPr>
        <w:rPr>
          <w:rFonts w:ascii="Aptos" w:eastAsia="Times New Roman" w:hAnsi="Aptos" w:cs="Arial"/>
          <w:b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/>
          <w:bCs w:val="0"/>
          <w:szCs w:val="24"/>
          <w:lang w:eastAsia="nl-NL"/>
        </w:rPr>
        <w:br w:type="page"/>
      </w:r>
    </w:p>
    <w:p w14:paraId="0748AE8D" w14:textId="5E4256CD" w:rsidR="00CC4C53" w:rsidRPr="00B3142E" w:rsidRDefault="00CC4C53" w:rsidP="00B3142E">
      <w:pPr>
        <w:pStyle w:val="Heading1"/>
        <w:rPr>
          <w:rFonts w:eastAsia="Times New Roman"/>
          <w:bCs w:val="0"/>
          <w:lang w:eastAsia="nl-NL"/>
        </w:rPr>
      </w:pPr>
      <w:bookmarkStart w:id="16" w:name="_Toc189140064"/>
      <w:r w:rsidRPr="00B3142E">
        <w:rPr>
          <w:rFonts w:eastAsia="Times New Roman"/>
          <w:bCs w:val="0"/>
          <w:lang w:eastAsia="nl-NL"/>
        </w:rPr>
        <w:lastRenderedPageBreak/>
        <w:t>1. ABN AMRO</w:t>
      </w:r>
      <w:bookmarkEnd w:id="16"/>
    </w:p>
    <w:p w14:paraId="0A5D1976" w14:textId="77777777" w:rsidR="00CC4C53" w:rsidRPr="00B3142E" w:rsidRDefault="00CC4C53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17" w:name="_Toc189140065"/>
      <w:r w:rsidRPr="00B3142E">
        <w:rPr>
          <w:rFonts w:ascii="Aptos" w:eastAsia="Times New Roman" w:hAnsi="Aptos"/>
          <w:bCs w:val="0"/>
          <w:sz w:val="24"/>
          <w:szCs w:val="24"/>
          <w:lang w:eastAsia="nl-NL"/>
        </w:rPr>
        <w:t>Duurzaamheidsbeleid (32,5%) - Score: 7.5</w:t>
      </w:r>
      <w:bookmarkEnd w:id="17"/>
    </w:p>
    <w:p w14:paraId="30A68D39" w14:textId="4F432175" w:rsidR="00CC4C53" w:rsidRPr="00B3142E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ABN AMRO heeft in haar duurzaamheidsstrategie een duidelijke ambitie opgenomen om tegen 2030 een volledig CO</w:t>
      </w:r>
      <w:r w:rsidRPr="00B3142E">
        <w:rPr>
          <w:rFonts w:ascii="Aptos" w:eastAsia="Times New Roman" w:hAnsi="Aptos" w:cs="Cambria Math"/>
          <w:szCs w:val="24"/>
          <w:lang w:eastAsia="nl-NL"/>
        </w:rPr>
        <w:t>₂</w:t>
      </w:r>
      <w:r w:rsidRPr="00B3142E">
        <w:rPr>
          <w:rFonts w:ascii="Aptos" w:eastAsia="Times New Roman" w:hAnsi="Aptos" w:cs="Arial"/>
          <w:szCs w:val="24"/>
          <w:lang w:eastAsia="nl-NL"/>
        </w:rPr>
        <w:t>-neutrale vastgoedportefeuille te hebben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008496E2" w14:textId="5FA66612" w:rsidR="00CC4C53" w:rsidRPr="00B3142E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ABN AMRO zet in op energiezuinige woningen en biedt uitgebreide verduurzamingsadviezen via haar Duurzaam Wonen Desk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(ABN AMRO 2022).</w:t>
      </w:r>
    </w:p>
    <w:p w14:paraId="799D010A" w14:textId="04B092D6" w:rsidR="00CC4C53" w:rsidRPr="00B3142E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bijvoorbeeld Triodos Bank ontbreekt echter een diepgaande focus op sociale duurzaamheid, zoals inclusieve bouwprojecten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173DCB88" w14:textId="39EFEAC2" w:rsidR="00CC4C53" w:rsidRPr="00B3142E" w:rsidRDefault="00CC4C53" w:rsidP="00CC4C53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beleid wordt wel goed gemonitord, maar mist de innovatiekracht van kleinere spelers zoals MUNT Hypotheken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38B5D8D4" w14:textId="77777777" w:rsidR="00CC4C53" w:rsidRPr="00B3142E" w:rsidRDefault="00CC4C53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18" w:name="_Toc189140066"/>
      <w:r w:rsidRPr="00B3142E">
        <w:rPr>
          <w:rFonts w:ascii="Aptos" w:eastAsia="Times New Roman" w:hAnsi="Aptos"/>
          <w:bCs w:val="0"/>
          <w:sz w:val="24"/>
          <w:szCs w:val="24"/>
          <w:lang w:eastAsia="nl-NL"/>
        </w:rPr>
        <w:t>Milieuvriendelijke initiatieven (32,5%) - Score: 7.0</w:t>
      </w:r>
      <w:bookmarkEnd w:id="18"/>
    </w:p>
    <w:p w14:paraId="334C0E3D" w14:textId="542C1F58" w:rsidR="00CC4C53" w:rsidRPr="00B3142E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ABN AMRO ondersteunt huiseigenaren bij verduurzaming via leningen met lagere rente voor energiebesparende maatregelen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</w:t>
      </w:r>
      <w:r w:rsidR="00B3142E" w:rsidRPr="00B3142E">
        <w:rPr>
          <w:rFonts w:ascii="Aptos" w:hAnsi="Aptos"/>
          <w:szCs w:val="24"/>
        </w:rPr>
        <w:t>(ABN AMRO, 2023).</w:t>
      </w:r>
    </w:p>
    <w:p w14:paraId="07CB101B" w14:textId="5FC9CAFB" w:rsidR="00CC4C53" w:rsidRPr="00B3142E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Daarnaast heeft de bank een samenwerking met energieadviseurs om klanten inzicht te geven in hun energiegebruik</w:t>
      </w:r>
      <w:r w:rsidR="00B3142E" w:rsidRPr="00B3142E">
        <w:rPr>
          <w:rFonts w:ascii="Aptos" w:hAnsi="Aptos"/>
        </w:rPr>
        <w:t xml:space="preserve"> </w:t>
      </w:r>
      <w:r w:rsidR="00B3142E" w:rsidRPr="00B3142E">
        <w:rPr>
          <w:rFonts w:ascii="Aptos" w:hAnsi="Aptos"/>
        </w:rPr>
        <w:t>(ABN AMRO, 2022).</w:t>
      </w:r>
    </w:p>
    <w:p w14:paraId="14359C66" w14:textId="5BA736C6" w:rsidR="00CC4C53" w:rsidRPr="00B3142E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Vergeleken met Triodos Bank blijft de directe betrokkenheid bij groene energieprojecten beperkt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67BDBE8F" w14:textId="50CCF669" w:rsidR="00CC4C53" w:rsidRPr="00B3142E" w:rsidRDefault="00CC4C53" w:rsidP="00CC4C53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aanbod is breed, maar mist soms de maatwerkoplossingen die andere aanbieders bieden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7544550E" w14:textId="77777777" w:rsidR="00CC4C53" w:rsidRPr="00B3142E" w:rsidRDefault="00CC4C53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19" w:name="_Toc189140067"/>
      <w:r w:rsidRPr="00B3142E">
        <w:rPr>
          <w:rFonts w:ascii="Aptos" w:eastAsia="Times New Roman" w:hAnsi="Aptos"/>
          <w:bCs w:val="0"/>
          <w:sz w:val="24"/>
          <w:szCs w:val="24"/>
          <w:lang w:eastAsia="nl-NL"/>
        </w:rPr>
        <w:t>Duurzame financiële producten (15%) - Score: 6.5</w:t>
      </w:r>
      <w:bookmarkEnd w:id="19"/>
    </w:p>
    <w:p w14:paraId="597FE382" w14:textId="5FCF08DE" w:rsidR="00CC4C53" w:rsidRPr="00B3142E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Duurzaamheidslening van ABN AMRO helpt klanten bij het financieren van isolatie, zonnepanelen en andere verbeteringen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1A47E1F3" w14:textId="73320F9C" w:rsidR="00CC4C53" w:rsidRPr="00B3142E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voorwaarden zijn echter minder aantrekkelijk dan bij MUNT Hypotheken, die meer flexibiliteit biedt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</w:t>
      </w:r>
      <w:r w:rsidR="00B3142E">
        <w:rPr>
          <w:rFonts w:ascii="Aptos" w:eastAsia="Times New Roman" w:hAnsi="Aptos" w:cs="Arial"/>
          <w:szCs w:val="24"/>
          <w:lang w:eastAsia="nl-NL"/>
        </w:rPr>
        <w:t>(Munt Hypotheken, 2023).</w:t>
      </w:r>
    </w:p>
    <w:p w14:paraId="52B3D415" w14:textId="6DE4AC8F" w:rsidR="00CC4C53" w:rsidRPr="00B3142E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Bank heeft ook een breder scala aan duurzame producten, zoals financiering voor circulaire bouwprojecten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</w:t>
      </w:r>
      <w:r w:rsidR="00B3142E">
        <w:rPr>
          <w:rFonts w:ascii="Aptos" w:eastAsia="Times New Roman" w:hAnsi="Aptos" w:cs="Arial"/>
          <w:szCs w:val="24"/>
          <w:lang w:eastAsia="nl-NL"/>
        </w:rPr>
        <w:t>(Triodos Bank, 2023).</w:t>
      </w:r>
    </w:p>
    <w:p w14:paraId="57DC1B4B" w14:textId="1A397BF0" w:rsidR="00CC4C53" w:rsidRPr="00B3142E" w:rsidRDefault="00CC4C53" w:rsidP="00CC4C53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Hoewel ABN AMRO een groene hypotheek biedt, is deze minder competitief in vergelijking met de marktleiders</w:t>
      </w:r>
      <w:r w:rsidR="00B3142E" w:rsidRPr="00B3142E">
        <w:rPr>
          <w:rFonts w:ascii="Aptos" w:eastAsia="Times New Roman" w:hAnsi="Aptos" w:cs="Arial"/>
          <w:szCs w:val="24"/>
          <w:lang w:eastAsia="nl-NL"/>
        </w:rPr>
        <w:t xml:space="preserve"> </w:t>
      </w:r>
      <w:r w:rsidR="00B3142E">
        <w:rPr>
          <w:rFonts w:ascii="Aptos" w:eastAsia="Times New Roman" w:hAnsi="Aptos" w:cs="Arial"/>
          <w:szCs w:val="24"/>
          <w:lang w:eastAsia="nl-NL"/>
        </w:rPr>
        <w:t>(</w:t>
      </w:r>
      <w:r w:rsidR="00B3142E">
        <w:rPr>
          <w:rFonts w:ascii="Aptos" w:eastAsia="Times New Roman" w:hAnsi="Aptos" w:cs="Arial"/>
          <w:szCs w:val="24"/>
          <w:lang w:eastAsia="nl-NL"/>
        </w:rPr>
        <w:t>ABN AMRO, 2023).</w:t>
      </w:r>
    </w:p>
    <w:p w14:paraId="320FFB24" w14:textId="77777777" w:rsidR="00CC4C53" w:rsidRPr="00B3142E" w:rsidRDefault="00CC4C53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0" w:name="_Toc189140068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6.8</w:t>
      </w:r>
      <w:bookmarkEnd w:id="20"/>
    </w:p>
    <w:p w14:paraId="2A226753" w14:textId="4B84216A" w:rsidR="00CC4C53" w:rsidRPr="00B3142E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ABN AMRO publiceert regelmatig analyses over de impact van klimaatverandering op hun vastgoedportefeuille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04E2AD6D" w14:textId="0EAB8C4B" w:rsidR="00CC4C53" w:rsidRPr="00B3142E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rapporten zijn nuttig, maar missen de uitvoerige detailniveaus van Triodos Bank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0723F303" w14:textId="720E69AE" w:rsidR="00CC4C53" w:rsidRPr="00B3142E" w:rsidRDefault="00CC4C53" w:rsidP="00CC4C53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Er is behoefte aan een meer geïntegreerde benadering om risico's direct te vertalen naar klantgerichte acties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737859B0" w14:textId="3FAE1223" w:rsidR="00B3142E" w:rsidRDefault="00CC4C53" w:rsidP="00B3142E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ABN AMRO scoort beter dan kleinere aanbieders, maar blijft achter bij de koplopers in de sector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(ABN AMRO, 2022).</w:t>
      </w:r>
    </w:p>
    <w:p w14:paraId="25874BCC" w14:textId="10FDCB99" w:rsidR="00CC4C53" w:rsidRPr="00B3142E" w:rsidRDefault="00CC4C53" w:rsidP="00B3142E">
      <w:pPr>
        <w:pStyle w:val="Heading1"/>
        <w:rPr>
          <w:rFonts w:ascii="Aptos" w:eastAsia="Times New Roman" w:hAnsi="Aptos" w:cs="Arial"/>
          <w:szCs w:val="24"/>
          <w:lang w:eastAsia="nl-NL"/>
        </w:rPr>
      </w:pPr>
      <w:bookmarkStart w:id="21" w:name="_Toc189140069"/>
      <w:r w:rsidRPr="00B3142E">
        <w:rPr>
          <w:rFonts w:eastAsia="Times New Roman"/>
          <w:lang w:eastAsia="nl-NL"/>
        </w:rPr>
        <w:lastRenderedPageBreak/>
        <w:t>2. Rabobank</w:t>
      </w:r>
      <w:bookmarkEnd w:id="21"/>
    </w:p>
    <w:p w14:paraId="5273A69A" w14:textId="77777777" w:rsidR="00CC4C53" w:rsidRPr="00B3142E" w:rsidRDefault="00CC4C53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2" w:name="_Toc189140070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8.0</w:t>
      </w:r>
      <w:bookmarkEnd w:id="22"/>
    </w:p>
    <w:p w14:paraId="39CB4573" w14:textId="41A94198" w:rsidR="00CC4C53" w:rsidRPr="00B3142E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Rabobank heeft een breed duurzaamheidsbeleid dat zich richt op energietransitie, circulaire economie en voedselvoorziening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(Rabobank, 2023a).</w:t>
      </w:r>
    </w:p>
    <w:p w14:paraId="46342F02" w14:textId="5C690E7D" w:rsidR="00CC4C53" w:rsidRPr="00B3142E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beleid bevat concrete doelen, zoals het verduurzamen van hun woningportefeuille met minimaal energielabel C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(Rabobank, 2022).</w:t>
      </w:r>
    </w:p>
    <w:p w14:paraId="5AFC3E96" w14:textId="4519C4C6" w:rsidR="00CC4C53" w:rsidRPr="00B3142E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Vergeleken met Triodos Bank is de focus op sociale impact minder prominent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19F9D8AF" w14:textId="559F84E7" w:rsidR="00CC4C53" w:rsidRPr="00B3142E" w:rsidRDefault="00CC4C53" w:rsidP="00CC4C53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Rabobank heeft een solide aanpak, maar blijft qua innovatie iets achter bij MUNT Hypotheken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(M</w:t>
      </w:r>
      <w:r w:rsidR="00EA0155">
        <w:rPr>
          <w:rFonts w:ascii="Aptos" w:eastAsia="Times New Roman" w:hAnsi="Aptos" w:cs="Arial"/>
          <w:szCs w:val="24"/>
          <w:lang w:eastAsia="nl-NL"/>
        </w:rPr>
        <w:t>UNT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Hypotheken).</w:t>
      </w:r>
    </w:p>
    <w:p w14:paraId="20FA8366" w14:textId="77777777" w:rsidR="00CC4C53" w:rsidRPr="00B3142E" w:rsidRDefault="00CC4C53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3" w:name="_Toc189140071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7.5</w:t>
      </w:r>
      <w:bookmarkEnd w:id="23"/>
    </w:p>
    <w:p w14:paraId="458FA104" w14:textId="6D9E25EA" w:rsidR="00CC4C53" w:rsidRPr="00B3142E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Groenhypotheek van Rabobank biedt klanten financiële voordelen bij het verduurzamen van hun woning</w:t>
      </w:r>
      <w:r w:rsidR="00B3142E">
        <w:rPr>
          <w:rFonts w:ascii="Aptos" w:eastAsia="Times New Roman" w:hAnsi="Aptos" w:cs="Arial"/>
          <w:szCs w:val="24"/>
          <w:lang w:eastAsia="nl-NL"/>
        </w:rPr>
        <w:t xml:space="preserve"> (Rabobank</w:t>
      </w:r>
      <w:r w:rsidR="005E49B1">
        <w:rPr>
          <w:rFonts w:ascii="Aptos" w:eastAsia="Times New Roman" w:hAnsi="Aptos" w:cs="Arial"/>
          <w:szCs w:val="24"/>
          <w:lang w:eastAsia="nl-NL"/>
        </w:rPr>
        <w:t>, 2023b</w:t>
      </w:r>
      <w:r w:rsidR="00B3142E">
        <w:rPr>
          <w:rFonts w:ascii="Aptos" w:eastAsia="Times New Roman" w:hAnsi="Aptos" w:cs="Arial"/>
          <w:szCs w:val="24"/>
          <w:lang w:eastAsia="nl-NL"/>
        </w:rPr>
        <w:t>)</w:t>
      </w:r>
      <w:r w:rsidR="005E49B1">
        <w:rPr>
          <w:rFonts w:ascii="Aptos" w:eastAsia="Times New Roman" w:hAnsi="Aptos" w:cs="Arial"/>
          <w:szCs w:val="24"/>
          <w:lang w:eastAsia="nl-NL"/>
        </w:rPr>
        <w:t>.</w:t>
      </w:r>
    </w:p>
    <w:p w14:paraId="322102CD" w14:textId="75023BFD" w:rsidR="00CC4C53" w:rsidRPr="00B3142E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Rabobank werkt samen met overheden en energieleveranciers om energiebesparing te stimuleren</w:t>
      </w:r>
      <w:r w:rsidR="005E49B1">
        <w:rPr>
          <w:rFonts w:ascii="Aptos" w:eastAsia="Times New Roman" w:hAnsi="Aptos" w:cs="Arial"/>
          <w:szCs w:val="24"/>
          <w:lang w:eastAsia="nl-NL"/>
        </w:rPr>
        <w:t xml:space="preserve"> (Rabobank, 2022).</w:t>
      </w:r>
    </w:p>
    <w:p w14:paraId="37753EFA" w14:textId="05FDDCC2" w:rsidR="00CC4C53" w:rsidRPr="00B3142E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Bank is er minder aandacht voor directe investeringen in groene energieprojecten</w:t>
      </w:r>
      <w:r w:rsidR="005E49B1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27FDC1C2" w14:textId="6B911448" w:rsidR="00CC4C53" w:rsidRPr="00B3142E" w:rsidRDefault="00CC4C53" w:rsidP="00CC4C53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aanbod is toegankelijk, maar mist de specifieke maatwerkopties van MUNT Hypotheken</w:t>
      </w:r>
      <w:r w:rsidR="005E49B1">
        <w:rPr>
          <w:rFonts w:ascii="Aptos" w:eastAsia="Times New Roman" w:hAnsi="Aptos" w:cs="Arial"/>
          <w:szCs w:val="24"/>
          <w:lang w:eastAsia="nl-NL"/>
        </w:rPr>
        <w:t xml:space="preserve"> (M</w:t>
      </w:r>
      <w:r w:rsidR="00EA0155">
        <w:rPr>
          <w:rFonts w:ascii="Aptos" w:eastAsia="Times New Roman" w:hAnsi="Aptos" w:cs="Arial"/>
          <w:szCs w:val="24"/>
          <w:lang w:eastAsia="nl-NL"/>
        </w:rPr>
        <w:t>UNT</w:t>
      </w:r>
      <w:r w:rsidR="005E49B1">
        <w:rPr>
          <w:rFonts w:ascii="Aptos" w:eastAsia="Times New Roman" w:hAnsi="Aptos" w:cs="Arial"/>
          <w:szCs w:val="24"/>
          <w:lang w:eastAsia="nl-NL"/>
        </w:rPr>
        <w:t xml:space="preserve"> Hypotheken, 2023).</w:t>
      </w:r>
    </w:p>
    <w:p w14:paraId="4CFEE726" w14:textId="77777777" w:rsidR="00CC4C53" w:rsidRPr="00B3142E" w:rsidRDefault="00CC4C53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4" w:name="_Toc189140072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7.0</w:t>
      </w:r>
      <w:bookmarkEnd w:id="24"/>
    </w:p>
    <w:p w14:paraId="69F67511" w14:textId="05164575" w:rsidR="00CC4C53" w:rsidRPr="00B3142E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Rabobank biedt klanten de mogelijkheid om extra te lenen voor energiebesparende maatregelen, maar de voorwaarden zijn beperkt</w:t>
      </w:r>
      <w:r w:rsidR="005E49B1">
        <w:rPr>
          <w:rFonts w:ascii="Aptos" w:eastAsia="Times New Roman" w:hAnsi="Aptos" w:cs="Arial"/>
          <w:szCs w:val="24"/>
          <w:lang w:eastAsia="nl-NL"/>
        </w:rPr>
        <w:t xml:space="preserve"> (</w:t>
      </w:r>
      <w:r w:rsidR="00EA0155">
        <w:rPr>
          <w:rFonts w:ascii="Aptos" w:eastAsia="Times New Roman" w:hAnsi="Aptos" w:cs="Arial"/>
          <w:szCs w:val="24"/>
          <w:lang w:eastAsia="nl-NL"/>
        </w:rPr>
        <w:t>Rabobank, 2023b</w:t>
      </w:r>
      <w:r w:rsidR="005E49B1">
        <w:rPr>
          <w:rFonts w:ascii="Aptos" w:eastAsia="Times New Roman" w:hAnsi="Aptos" w:cs="Arial"/>
          <w:szCs w:val="24"/>
          <w:lang w:eastAsia="nl-NL"/>
        </w:rPr>
        <w:t>)</w:t>
      </w:r>
      <w:r w:rsidR="00EA0155">
        <w:rPr>
          <w:rFonts w:ascii="Aptos" w:eastAsia="Times New Roman" w:hAnsi="Aptos" w:cs="Arial"/>
          <w:szCs w:val="24"/>
          <w:lang w:eastAsia="nl-NL"/>
        </w:rPr>
        <w:t>.</w:t>
      </w:r>
    </w:p>
    <w:p w14:paraId="2EF60C55" w14:textId="6D62A633" w:rsidR="00CC4C53" w:rsidRPr="00B3142E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groene hypotheekproducten zijn minder flexibel dan die van Triodos Bank en MUNT Hypotheken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2023; MUNT Hypotheken, 2023).</w:t>
      </w:r>
    </w:p>
    <w:p w14:paraId="3043D5B9" w14:textId="6E214497" w:rsidR="00CC4C53" w:rsidRPr="00B3142E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Er wordt weinig innovatie getoond op het gebied van circulaire bouwprojecten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(Rabobank, 2022).</w:t>
      </w:r>
    </w:p>
    <w:p w14:paraId="356AE091" w14:textId="75B8A78A" w:rsidR="00CC4C53" w:rsidRPr="00B3142E" w:rsidRDefault="00CC4C53" w:rsidP="00CC4C53">
      <w:pPr>
        <w:numPr>
          <w:ilvl w:val="0"/>
          <w:numId w:val="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Hoewel Rabobank duurzame producten aanbiedt, zijn de voordelen vaak minder significant dan bij concurrenten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6035E3A8" w14:textId="77777777" w:rsidR="00CC4C53" w:rsidRPr="00B3142E" w:rsidRDefault="00CC4C53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5" w:name="_Toc189140073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7.2</w:t>
      </w:r>
      <w:bookmarkEnd w:id="25"/>
    </w:p>
    <w:p w14:paraId="0E6B7ABA" w14:textId="7F581651" w:rsidR="00CC4C53" w:rsidRPr="00B3142E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Rabobank heeft rapporten gepubliceerd over de impact van klimaatverandering op vastgoed en financieringen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(Rabobank, 2023a).</w:t>
      </w:r>
    </w:p>
    <w:p w14:paraId="4C4FEB1D" w14:textId="0ABF3236" w:rsidR="00CC4C53" w:rsidRPr="00B3142E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informatie is nuttig, maar minder uitgebreid dan die van Triodos Bank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30FBA48F" w14:textId="372D7798" w:rsidR="00CC4C53" w:rsidRPr="00B3142E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Andere aanbieders, zoals MUNT Hypotheken, geven meer specifieke inzichten in regionale klimaatrisico's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40E4C071" w14:textId="0EEDD330" w:rsidR="00CC4C53" w:rsidRPr="00B3142E" w:rsidRDefault="00CC4C53" w:rsidP="00CC4C53">
      <w:pPr>
        <w:numPr>
          <w:ilvl w:val="0"/>
          <w:numId w:val="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aanpak is breed, maar mist soms de diepgang die nodig is voor specifieke klantgerichte oplossingen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(Rabobank, 2022).</w:t>
      </w:r>
    </w:p>
    <w:p w14:paraId="16EAFC48" w14:textId="46211357" w:rsidR="00A94158" w:rsidRPr="00EA0155" w:rsidRDefault="00EA0155" w:rsidP="00EA0155">
      <w:pPr>
        <w:pStyle w:val="Heading1"/>
        <w:rPr>
          <w:rFonts w:ascii="Aptos" w:eastAsia="Times New Roman" w:hAnsi="Aptos" w:cs="Arial"/>
          <w:szCs w:val="24"/>
          <w:lang w:eastAsia="nl-NL"/>
        </w:rPr>
      </w:pPr>
      <w:r>
        <w:rPr>
          <w:rFonts w:ascii="Aptos" w:eastAsia="Times New Roman" w:hAnsi="Aptos" w:cs="Arial"/>
          <w:szCs w:val="24"/>
          <w:lang w:eastAsia="nl-NL"/>
        </w:rPr>
        <w:br w:type="page"/>
      </w:r>
      <w:bookmarkStart w:id="26" w:name="_Toc189140074"/>
      <w:r w:rsidR="00A94158" w:rsidRPr="00B3142E">
        <w:rPr>
          <w:rFonts w:eastAsia="Times New Roman"/>
          <w:lang w:eastAsia="nl-NL"/>
        </w:rPr>
        <w:lastRenderedPageBreak/>
        <w:t>3. BLG Wonen</w:t>
      </w:r>
      <w:bookmarkEnd w:id="26"/>
    </w:p>
    <w:p w14:paraId="4FDD1984" w14:textId="797F88C2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7" w:name="_Toc189140075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6.5</w:t>
      </w:r>
      <w:bookmarkEnd w:id="27"/>
    </w:p>
    <w:p w14:paraId="7028C21B" w14:textId="5C64CF86" w:rsidR="00A94158" w:rsidRPr="00B3142E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BLG Wonen heeft een bescheiden duurzaamheidsbeleid gericht op het toegankelijk maken van wonen en verduurzaming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2023).</w:t>
      </w:r>
    </w:p>
    <w:p w14:paraId="66AB67E3" w14:textId="6F4C4112" w:rsidR="00A94158" w:rsidRPr="00B3142E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Hoewel ze verduurzaming benoemen, ligt de nadruk meer op sociaal-maatschappelijke aspecten zoals betaalbaar wonen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2022).</w:t>
      </w:r>
    </w:p>
    <w:p w14:paraId="58BD66D3" w14:textId="39949123" w:rsidR="00A94158" w:rsidRPr="00B3142E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Bank en Rabobank ontbreekt een duidelijke visie op bredere duurzame doelen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2023; Rabobank, 2023a)</w:t>
      </w:r>
    </w:p>
    <w:p w14:paraId="751E940D" w14:textId="7872F37E" w:rsidR="00A94158" w:rsidRPr="00B3142E" w:rsidRDefault="00A94158" w:rsidP="00A94158">
      <w:pPr>
        <w:numPr>
          <w:ilvl w:val="0"/>
          <w:numId w:val="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beleid is minder ambitieus en strategisch in vergelijking met marktleiders zoals MUNT Hypotheken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3122AA0A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8" w:name="_Toc189140076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6.8</w:t>
      </w:r>
      <w:bookmarkEnd w:id="28"/>
    </w:p>
    <w:p w14:paraId="19E20A17" w14:textId="4CD47772" w:rsidR="00A94158" w:rsidRPr="00B3142E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BLG biedt subsidies en extra leencapaciteit voor huiseigenaren die willen verduurzamen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2023).</w:t>
      </w:r>
    </w:p>
    <w:p w14:paraId="0FA9E0A3" w14:textId="51837336" w:rsidR="00A94158" w:rsidRPr="00B3142E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samenwerking met lokale adviseurs voor energiezuinige verbeteringen is een pluspunt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2022).</w:t>
      </w:r>
    </w:p>
    <w:p w14:paraId="031B7D3F" w14:textId="2F0B8EE2" w:rsidR="00A94158" w:rsidRPr="00B3142E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Bank is hun directe bijdrage aan groene energieprojecten minimaal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50A09DEC" w14:textId="6D1628D5" w:rsidR="00A94158" w:rsidRPr="00B3142E" w:rsidRDefault="00A94158" w:rsidP="00A94158">
      <w:pPr>
        <w:numPr>
          <w:ilvl w:val="0"/>
          <w:numId w:val="1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initiatief is nuttig, maar beperkt in schaal en impact ten opzichte van de koplopers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3CD73DE1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29" w:name="_Toc189140077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6.0</w:t>
      </w:r>
      <w:bookmarkEnd w:id="29"/>
    </w:p>
    <w:p w14:paraId="286DB4BC" w14:textId="462CE21F" w:rsidR="00A94158" w:rsidRPr="00B3142E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hypotheekproducten van BLG Wonen bieden beperkte flexibiliteit voor duurzame investeringen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2023).</w:t>
      </w:r>
    </w:p>
    <w:p w14:paraId="13BB5B87" w14:textId="1B36690D" w:rsidR="00A94158" w:rsidRPr="00B3142E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Er is een groene hypotheek beschikbaar, maar de voorwaarden zijn minder aantrekkelijk dan bij Triodos of MUNT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2023; MUNT Hypotheken, 2023).</w:t>
      </w:r>
    </w:p>
    <w:p w14:paraId="15B30B9C" w14:textId="40220B7A" w:rsidR="00A94158" w:rsidRPr="00B3142E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financiering voor circulaire bouwprojecten ontbreekt geheel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 2022).</w:t>
      </w:r>
    </w:p>
    <w:p w14:paraId="10D110AE" w14:textId="71975343" w:rsidR="00A94158" w:rsidRPr="00B3142E" w:rsidRDefault="00A94158" w:rsidP="00A94158">
      <w:pPr>
        <w:numPr>
          <w:ilvl w:val="0"/>
          <w:numId w:val="1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andere aanbieders, zoals Rabobank, scoort BLG op dit punt gemiddeld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(Rabobank, 2023b)</w:t>
      </w:r>
    </w:p>
    <w:p w14:paraId="3F798EBF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0" w:name="_Toc189140078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5.8</w:t>
      </w:r>
      <w:bookmarkEnd w:id="30"/>
    </w:p>
    <w:p w14:paraId="3565FD52" w14:textId="603C3A47" w:rsidR="00A94158" w:rsidRPr="00B3142E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BLG Wonen informeert klanten weinig over specifieke klimaatrisico’s, wat hun score verlaagt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2023).</w:t>
      </w:r>
    </w:p>
    <w:p w14:paraId="24B3F4A7" w14:textId="45CF0326" w:rsidR="00A94158" w:rsidRPr="00B3142E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rapportages zijn niet gedetailleerd en richten zich vooral op algemene risico’s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2022).</w:t>
      </w:r>
    </w:p>
    <w:p w14:paraId="26BD778C" w14:textId="010561ED" w:rsidR="00A94158" w:rsidRPr="00B3142E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Bank en MUNT Hypotheken bieden veel meer inzicht in klimaatrisico’s voor vastgoed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(Triodos Bank, 2023; MUNT Hypotheken, 2023).</w:t>
      </w:r>
    </w:p>
    <w:p w14:paraId="4D9FF745" w14:textId="415C1B28" w:rsidR="00A94158" w:rsidRPr="00B3142E" w:rsidRDefault="00A94158" w:rsidP="00A94158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aanpak van BLG Wonen is reactief en mist strategische vooruitgang</w:t>
      </w:r>
      <w:r w:rsidR="00EA0155">
        <w:rPr>
          <w:rFonts w:ascii="Aptos" w:eastAsia="Times New Roman" w:hAnsi="Aptos" w:cs="Arial"/>
          <w:szCs w:val="24"/>
          <w:lang w:eastAsia="nl-NL"/>
        </w:rPr>
        <w:t xml:space="preserve"> (BLG Wonen, 2023).</w:t>
      </w:r>
    </w:p>
    <w:p w14:paraId="2D9D531D" w14:textId="77777777" w:rsidR="007E2703" w:rsidRDefault="007E2703" w:rsidP="007E2703">
      <w:pPr>
        <w:rPr>
          <w:rFonts w:ascii="Aptos" w:eastAsia="Times New Roman" w:hAnsi="Aptos" w:cs="Arial"/>
          <w:szCs w:val="24"/>
          <w:lang w:eastAsia="nl-NL"/>
        </w:rPr>
      </w:pPr>
    </w:p>
    <w:p w14:paraId="3BFA2F10" w14:textId="251EE754" w:rsidR="00A94158" w:rsidRPr="007E2703" w:rsidRDefault="00A94158" w:rsidP="007E2703">
      <w:pPr>
        <w:pStyle w:val="Heading1"/>
        <w:rPr>
          <w:rFonts w:ascii="Aptos" w:eastAsia="Times New Roman" w:hAnsi="Aptos" w:cs="Arial"/>
          <w:b/>
          <w:szCs w:val="24"/>
          <w:lang w:eastAsia="nl-NL"/>
        </w:rPr>
      </w:pPr>
      <w:bookmarkStart w:id="31" w:name="_Toc189140079"/>
      <w:r w:rsidRPr="00B3142E">
        <w:t>4. Regiobank</w:t>
      </w:r>
      <w:bookmarkEnd w:id="31"/>
    </w:p>
    <w:p w14:paraId="07EC4000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2" w:name="_Toc189140080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6.7</w:t>
      </w:r>
      <w:bookmarkEnd w:id="32"/>
    </w:p>
    <w:p w14:paraId="0D5FE28C" w14:textId="417401F4" w:rsidR="00A94158" w:rsidRPr="00B3142E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Regiobank heeft een focus op lokaal en duurzaam bankieren, maar het beleid is minder uitgebreid dan dat van Triodos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2023a).</w:t>
      </w:r>
    </w:p>
    <w:p w14:paraId="3282BE39" w14:textId="7CA84929" w:rsidR="00A94158" w:rsidRPr="00B3142E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promoten verduurzaming van woningen, maar er ontbreekt een concrete langetermijnstrategie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2022).</w:t>
      </w:r>
    </w:p>
    <w:p w14:paraId="5CC84E5F" w14:textId="52347E07" w:rsidR="00A94158" w:rsidRPr="00B3142E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Rabobank is de reikwijdte van hun duurzaamheidsbeleid beperkter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(Rabobank, 2023a).</w:t>
      </w:r>
    </w:p>
    <w:p w14:paraId="0B737F29" w14:textId="6116B4EE" w:rsidR="00A94158" w:rsidRPr="00B3142E" w:rsidRDefault="00A94158" w:rsidP="00A94158">
      <w:pPr>
        <w:numPr>
          <w:ilvl w:val="0"/>
          <w:numId w:val="1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focus op kleinschaligheid beperkt hun impact op grotere duurzaamheidsthema's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68E209E7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3" w:name="_Toc189140081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6.5</w:t>
      </w:r>
      <w:bookmarkEnd w:id="33"/>
    </w:p>
    <w:p w14:paraId="42A2E418" w14:textId="77A144D9" w:rsidR="00A94158" w:rsidRPr="00B3142E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Regiobank biedt klanten hulp bij het verduurzamen van woningen via lokale adviseurs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2023b).</w:t>
      </w:r>
    </w:p>
    <w:p w14:paraId="7E154C40" w14:textId="7B2D56F5" w:rsidR="00A94158" w:rsidRPr="00B3142E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impact van deze initiatieven is beperkt door hun kleine marktaandeel en beperkte middelen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2022).</w:t>
      </w:r>
    </w:p>
    <w:p w14:paraId="121B23CC" w14:textId="1D8AAD18" w:rsidR="00A94158" w:rsidRPr="00B3142E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Bank en Rabobank hebben ze minder concrete samenwerkingen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2023; Rabobank, 2023b).</w:t>
      </w:r>
    </w:p>
    <w:p w14:paraId="3638F5D8" w14:textId="25CE0714" w:rsidR="00A94158" w:rsidRPr="00B3142E" w:rsidRDefault="00A94158" w:rsidP="00A94158">
      <w:pPr>
        <w:numPr>
          <w:ilvl w:val="0"/>
          <w:numId w:val="1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beleid is goedbedoeld, maar mist innovatie en schaal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423C23CE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4" w:name="_Toc189140082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6.3</w:t>
      </w:r>
      <w:bookmarkEnd w:id="34"/>
    </w:p>
    <w:p w14:paraId="1836627E" w14:textId="7DF6FACB" w:rsidR="00A94158" w:rsidRPr="00B3142E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Regiobank biedt klanten beperkte mogelijkheden voor duurzame investeringen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2023a).</w:t>
      </w:r>
    </w:p>
    <w:p w14:paraId="796D2847" w14:textId="7095805D" w:rsidR="00A94158" w:rsidRPr="00B3142E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groene hypotheek is beschikbaar, maar kent minder aantrekkelijke voorwaarden dan bij MUNT Hypotheken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(MUNT Hypotheken, 2023).</w:t>
      </w:r>
    </w:p>
    <w:p w14:paraId="6BAF27F2" w14:textId="58C2DDD4" w:rsidR="00A94158" w:rsidRPr="00B3142E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Er is weinig focus op specifieke producten voor circulaire bouw of energie-efficiënte woningen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2022).</w:t>
      </w:r>
    </w:p>
    <w:p w14:paraId="399C6E5E" w14:textId="226D58F1" w:rsidR="00A94158" w:rsidRPr="00B3142E" w:rsidRDefault="00A94158" w:rsidP="00A94158">
      <w:pPr>
        <w:numPr>
          <w:ilvl w:val="0"/>
          <w:numId w:val="1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Rabobank en Triodos Bank blijven ze achter op dit punt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2023; Rabobank, 2023b).</w:t>
      </w:r>
    </w:p>
    <w:p w14:paraId="4142E4F0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5" w:name="_Toc189140083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6.0</w:t>
      </w:r>
      <w:bookmarkEnd w:id="35"/>
    </w:p>
    <w:p w14:paraId="3E55AE65" w14:textId="25A8F361" w:rsidR="00A94158" w:rsidRPr="00B3142E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rapportage van Regiobank over klimaatrisico’s is minimaal en vaak te algemeen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2023b).</w:t>
      </w:r>
    </w:p>
    <w:p w14:paraId="78101F0C" w14:textId="05916D61" w:rsidR="00A94158" w:rsidRPr="00B3142E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informeren klanten nauwelijks over specifieke risico’s op regionaal niveau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2022).</w:t>
      </w:r>
    </w:p>
    <w:p w14:paraId="1D83FEB5" w14:textId="30082050" w:rsidR="00A94158" w:rsidRPr="00B3142E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Bank en ABN AMRO lopen op dit punt voor met uitgebreide klimaatrapportage</w:t>
      </w:r>
      <w:r w:rsidR="007E2703">
        <w:rPr>
          <w:rFonts w:ascii="Aptos" w:eastAsia="Times New Roman" w:hAnsi="Aptos" w:cs="Arial"/>
          <w:szCs w:val="24"/>
          <w:lang w:eastAsia="nl-NL"/>
        </w:rPr>
        <w:t>s (Triodos Bank, 2023; ABN AMRO, 2023).</w:t>
      </w:r>
    </w:p>
    <w:p w14:paraId="6BCF1615" w14:textId="6371EB3C" w:rsidR="00A94158" w:rsidRPr="00B3142E" w:rsidRDefault="00A94158" w:rsidP="00A94158">
      <w:pPr>
        <w:numPr>
          <w:ilvl w:val="0"/>
          <w:numId w:val="1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beperkte informatievoorziening verlaagt hun score aanzienlijk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(Regiobank, 2023a)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31897F29" w14:textId="1DC908DF" w:rsidR="00A94158" w:rsidRPr="007E2703" w:rsidRDefault="00A94158" w:rsidP="007E2703">
      <w:pPr>
        <w:pStyle w:val="Heading1"/>
        <w:rPr>
          <w:rFonts w:ascii="Aptos" w:eastAsia="Times New Roman" w:hAnsi="Aptos" w:cs="Arial"/>
          <w:szCs w:val="24"/>
          <w:lang w:eastAsia="nl-NL"/>
        </w:rPr>
      </w:pPr>
      <w:bookmarkStart w:id="36" w:name="_Toc189140084"/>
      <w:r w:rsidRPr="00B3142E">
        <w:rPr>
          <w:rFonts w:eastAsia="Times New Roman"/>
          <w:lang w:eastAsia="nl-NL"/>
        </w:rPr>
        <w:lastRenderedPageBreak/>
        <w:t>5. Triodos Bank</w:t>
      </w:r>
      <w:bookmarkEnd w:id="36"/>
    </w:p>
    <w:p w14:paraId="02E0220A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7" w:name="_Toc189140085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9.5</w:t>
      </w:r>
      <w:bookmarkEnd w:id="37"/>
    </w:p>
    <w:p w14:paraId="6B867A73" w14:textId="4F432F1C" w:rsidR="00A94158" w:rsidRPr="00B3142E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 xml:space="preserve">Triodos Bank heeft een zeer uitgebreide en transparante duurzaamheidsstrategie die zich richt op milieu, sociale impact en </w:t>
      </w:r>
      <w:proofErr w:type="spellStart"/>
      <w:r w:rsidRPr="00B3142E">
        <w:rPr>
          <w:rFonts w:ascii="Aptos" w:eastAsia="Times New Roman" w:hAnsi="Aptos" w:cs="Arial"/>
          <w:szCs w:val="24"/>
          <w:lang w:eastAsia="nl-NL"/>
        </w:rPr>
        <w:t>governance</w:t>
      </w:r>
      <w:proofErr w:type="spellEnd"/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21147D0D" w14:textId="5AF3F72D" w:rsidR="00A94158" w:rsidRPr="00B3142E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rapporteren jaarlijks over hun impact, met concrete doelen zoals CO2-reductie en het bevorderen van circulaire economieën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2022).</w:t>
      </w:r>
    </w:p>
    <w:p w14:paraId="2A0E1C16" w14:textId="4A6FE574" w:rsidR="00A94158" w:rsidRPr="00B3142E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hanteert strikte criteria voor financiering, waarbij projecten op duurzaamheid worden beoordeeld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7A5852F4" w14:textId="52164CAE" w:rsidR="00A94158" w:rsidRPr="00B3142E" w:rsidRDefault="00A94158" w:rsidP="00A94158">
      <w:pPr>
        <w:numPr>
          <w:ilvl w:val="0"/>
          <w:numId w:val="1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beleid wordt algemeen erkend als een van de meest vooruitstrevende in de financiële sector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(Rabobank, 2023a).</w:t>
      </w:r>
    </w:p>
    <w:p w14:paraId="2973481D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8" w:name="_Toc189140086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9.8</w:t>
      </w:r>
      <w:bookmarkEnd w:id="38"/>
    </w:p>
    <w:p w14:paraId="46A2428C" w14:textId="300572B2" w:rsidR="00A94158" w:rsidRPr="00B3142E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 xml:space="preserve">Triodos Bank financiert alleen projecten die een positieve impact op het milieu hebben, zoals zonneparken, windmolens en </w:t>
      </w:r>
      <w:r w:rsidR="00C1007E" w:rsidRPr="00B3142E">
        <w:rPr>
          <w:rFonts w:ascii="Aptos" w:eastAsia="Times New Roman" w:hAnsi="Aptos" w:cs="Arial"/>
          <w:szCs w:val="24"/>
          <w:lang w:eastAsia="nl-NL"/>
        </w:rPr>
        <w:t>energie neutrale</w:t>
      </w:r>
      <w:r w:rsidRPr="00B3142E">
        <w:rPr>
          <w:rFonts w:ascii="Aptos" w:eastAsia="Times New Roman" w:hAnsi="Aptos" w:cs="Arial"/>
          <w:szCs w:val="24"/>
          <w:lang w:eastAsia="nl-NL"/>
        </w:rPr>
        <w:t xml:space="preserve"> woningen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59DFCFAC" w14:textId="0286361C" w:rsidR="00A94158" w:rsidRPr="00B3142E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bieden groene hypotheken aan tegen aantrekkelijke voorwaarden voor energiezuinige woningen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2022).</w:t>
      </w:r>
    </w:p>
    <w:p w14:paraId="7A2ED904" w14:textId="5F261B57" w:rsidR="00A94158" w:rsidRPr="00B3142E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directe investeringen in hernieuwbare energieprojecten onderscheiden hen van veel andere aanbieders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72485EFE" w14:textId="5EFD4F64" w:rsidR="00A94158" w:rsidRPr="00B3142E" w:rsidRDefault="00A94158" w:rsidP="00A94158">
      <w:pPr>
        <w:numPr>
          <w:ilvl w:val="0"/>
          <w:numId w:val="1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is toonaangevend op dit gebied, met een focus op zowel innovatie als impact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5D712FBB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39" w:name="_Toc189140087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9.0</w:t>
      </w:r>
      <w:bookmarkEnd w:id="39"/>
    </w:p>
    <w:p w14:paraId="5A4103B5" w14:textId="2DEF7A00" w:rsidR="00A94158" w:rsidRPr="00B3142E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biedt een breed scala aan duurzame producten, waaronder groene hypotheken en leningen voor duurzame bouw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0B380A61" w14:textId="38A1936A" w:rsidR="00A94158" w:rsidRPr="00B3142E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financiële producten zijn speciaal ontworpen om klanten te stimuleren milieuvriendelijke keuzes te maken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2022)</w:t>
      </w:r>
    </w:p>
    <w:p w14:paraId="7FF2D39F" w14:textId="63234F7B" w:rsidR="00A94158" w:rsidRPr="00B3142E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ondersteunen ook projecten die bijdragen aan sociale duurzaamheid, zoals zorgwoningen en culturele centra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21AD774B" w14:textId="43229306" w:rsidR="00A94158" w:rsidRPr="00B3142E" w:rsidRDefault="00A94158" w:rsidP="00A94158">
      <w:pPr>
        <w:numPr>
          <w:ilvl w:val="0"/>
          <w:numId w:val="19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Deze brede focus op duurzaamheid en innovatie plaatst hen aan de top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(Rabobank, 2023b).</w:t>
      </w:r>
    </w:p>
    <w:p w14:paraId="16C64DBE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0" w:name="_Toc189140088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9.7</w:t>
      </w:r>
      <w:bookmarkEnd w:id="40"/>
    </w:p>
    <w:p w14:paraId="50A12F2A" w14:textId="29DC271A" w:rsidR="00A94158" w:rsidRPr="00B3142E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Triodos publiceert gedetailleerde rapporten over klimaatrisico’s en hun impact op vastgoed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529B407D" w14:textId="5BADF9B9" w:rsidR="00A94158" w:rsidRPr="00B3142E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zijn een van de weinige banken die transparant communiceren over de noodzaak van klimaatadaptatie in de woningsector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2022).</w:t>
      </w:r>
    </w:p>
    <w:p w14:paraId="2905DA45" w14:textId="492DAF6B" w:rsidR="00A94158" w:rsidRPr="00B3142E" w:rsidRDefault="00A94158" w:rsidP="00A94158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rapportage biedt klanten een duidelijk overzicht van risico’s en oplossingen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034EFAA7" w14:textId="582607A1" w:rsidR="00400097" w:rsidRPr="00400097" w:rsidRDefault="00A94158" w:rsidP="00400097">
      <w:pPr>
        <w:numPr>
          <w:ilvl w:val="0"/>
          <w:numId w:val="20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Deze focus op transparantie en actie maakt hen uniek in de sector</w:t>
      </w:r>
      <w:r w:rsidR="007E2703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529D636F" w14:textId="290A1832" w:rsidR="00A94158" w:rsidRPr="00400097" w:rsidRDefault="00A94158" w:rsidP="00400097">
      <w:pPr>
        <w:pStyle w:val="Heading1"/>
        <w:rPr>
          <w:rFonts w:ascii="Aptos" w:eastAsia="Times New Roman" w:hAnsi="Aptos" w:cs="Arial"/>
          <w:b/>
          <w:szCs w:val="24"/>
          <w:lang w:eastAsia="nl-NL"/>
        </w:rPr>
      </w:pPr>
      <w:bookmarkStart w:id="41" w:name="_Toc189140089"/>
      <w:r w:rsidRPr="00B3142E">
        <w:rPr>
          <w:rFonts w:eastAsia="Times New Roman"/>
          <w:lang w:eastAsia="nl-NL"/>
        </w:rPr>
        <w:lastRenderedPageBreak/>
        <w:t>6. MUNT Hypotheken</w:t>
      </w:r>
      <w:bookmarkEnd w:id="41"/>
    </w:p>
    <w:p w14:paraId="7AFC85AB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2" w:name="_Toc189140090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9.0</w:t>
      </w:r>
      <w:bookmarkEnd w:id="42"/>
    </w:p>
    <w:p w14:paraId="44A0E3FC" w14:textId="07AD33A0" w:rsidR="00A94158" w:rsidRPr="00B3142E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MUNT Hypotheken heeft duurzaamheid hoog in het vaandel en werkt samen met verschillende partners om dit te bevorderen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2023a)</w:t>
      </w:r>
    </w:p>
    <w:p w14:paraId="6B5725EB" w14:textId="08EA00FB" w:rsidR="00A94158" w:rsidRPr="00B3142E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hanteren duidelijke duurzaamheidscriteria bij hun hypotheekverstrekking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2022)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09568D61" w14:textId="047F321C" w:rsidR="00A94158" w:rsidRPr="00B3142E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beleid is minder breed dan dat van Triodos, maar zeer concreet en gericht op de woningmarkt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587A7005" w14:textId="44721AC5" w:rsidR="00A94158" w:rsidRPr="00B3142E" w:rsidRDefault="00A94158" w:rsidP="00A94158">
      <w:pPr>
        <w:numPr>
          <w:ilvl w:val="0"/>
          <w:numId w:val="21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ontbreken van een focus op sociale duurzaamheid verlaagt de score enigszins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(Rabobank, 2023a)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6C2848FB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3" w:name="_Toc189140091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9.2</w:t>
      </w:r>
      <w:bookmarkEnd w:id="43"/>
    </w:p>
    <w:p w14:paraId="6084A4DE" w14:textId="3EB6820D" w:rsidR="00A94158" w:rsidRPr="00B3142E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MUNT Hypotheken stimuleert energiebesparing door klanten te helpen met verduurzamingsmaatregelen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2023b).</w:t>
      </w:r>
    </w:p>
    <w:p w14:paraId="5BB5B0D6" w14:textId="268F5E8A" w:rsidR="00A94158" w:rsidRPr="00B3142E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bieden extra leenmogelijkheden voor energiezuinige renovaties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2022)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644DF9ED" w14:textId="41449E51" w:rsidR="00A94158" w:rsidRPr="00B3142E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samenwerking met gemeenten en energiebedrijven werken ze aan grootschalige verduurzamingsprojecten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2023a)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1E79E06D" w14:textId="4F53E357" w:rsidR="00A94158" w:rsidRPr="00B3142E" w:rsidRDefault="00A94158" w:rsidP="00A94158">
      <w:pPr>
        <w:numPr>
          <w:ilvl w:val="0"/>
          <w:numId w:val="22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Hoewel indrukwekkend, blijft hun focus meer beperkt tot de hypotheeksector in vergelijking met Triodos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</w:t>
      </w:r>
      <w:r w:rsidRPr="00B3142E">
        <w:rPr>
          <w:rFonts w:ascii="Aptos" w:eastAsia="Times New Roman" w:hAnsi="Aptos" w:cs="Arial"/>
          <w:szCs w:val="24"/>
          <w:lang w:eastAsia="nl-NL"/>
        </w:rPr>
        <w:t>.</w:t>
      </w:r>
    </w:p>
    <w:p w14:paraId="44A37B95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4" w:name="_Toc189140092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9.0</w:t>
      </w:r>
      <w:bookmarkEnd w:id="44"/>
    </w:p>
    <w:p w14:paraId="4EC8CFA1" w14:textId="7B588D5D" w:rsidR="00A94158" w:rsidRPr="00B3142E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MUNT biedt groene hypotheken met aantrekkelijke voorwaarden, wat klanten stimuleert om energiezuinige woningen te kopen of te renoveren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2023b).</w:t>
      </w:r>
    </w:p>
    <w:p w14:paraId="08D23ECA" w14:textId="36B3FA7B" w:rsidR="00A94158" w:rsidRPr="00B3142E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hypotheken zijn gericht op CO2-reductie en energie-efficiëntie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2022).</w:t>
      </w:r>
    </w:p>
    <w:p w14:paraId="04BF830F" w14:textId="13DA18FA" w:rsidR="00A94158" w:rsidRPr="00B3142E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andere aanbieders hebben ze een van de meest toegankelijke financieringsopties voor verduurzaming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(Rabobank, 2023b).</w:t>
      </w:r>
    </w:p>
    <w:p w14:paraId="4213885A" w14:textId="254D68B1" w:rsidR="00A94158" w:rsidRPr="00B3142E" w:rsidRDefault="00A94158" w:rsidP="00A94158">
      <w:pPr>
        <w:numPr>
          <w:ilvl w:val="0"/>
          <w:numId w:val="23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aanbod mist echter de bredere productinnovatie van Triodos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0262BD7D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5" w:name="_Toc189140093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8.7</w:t>
      </w:r>
      <w:bookmarkEnd w:id="45"/>
    </w:p>
    <w:p w14:paraId="210C2141" w14:textId="0D783A92" w:rsidR="00A94158" w:rsidRPr="00B3142E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MUNT Hypotheken besteedt aandacht aan klimaatrisico’s door klanten te informeren over mogelijke impact op vastgoedwaarden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2023a)</w:t>
      </w:r>
    </w:p>
    <w:p w14:paraId="696480F9" w14:textId="7B17D0F6" w:rsidR="00A94158" w:rsidRPr="00B3142E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publiceren relevante informatie, maar minder gedetailleerd dan Triodos Bank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4FB4B071" w14:textId="1B384FDC" w:rsidR="00A94158" w:rsidRPr="00B3142E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focus ligt meer op het stimuleren van actie via financieringsopties dan op rapportage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 2023b).</w:t>
      </w:r>
    </w:p>
    <w:p w14:paraId="61E1ACAD" w14:textId="3705CB02" w:rsidR="00A94158" w:rsidRPr="00B3142E" w:rsidRDefault="00A94158" w:rsidP="00A94158">
      <w:pPr>
        <w:numPr>
          <w:ilvl w:val="0"/>
          <w:numId w:val="24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Deze aanpak is effectief, maar mist de uitgebreide transparantie van andere aanbieders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04D59FB7" w14:textId="7AE19325" w:rsidR="00A94158" w:rsidRPr="00400097" w:rsidRDefault="00A94158" w:rsidP="00400097">
      <w:pPr>
        <w:pStyle w:val="Heading1"/>
        <w:rPr>
          <w:rFonts w:ascii="Aptos" w:eastAsia="Times New Roman" w:hAnsi="Aptos"/>
          <w:szCs w:val="24"/>
          <w:lang w:eastAsia="nl-NL"/>
        </w:rPr>
      </w:pPr>
      <w:bookmarkStart w:id="46" w:name="_Toc189140094"/>
      <w:r w:rsidRPr="00B3142E">
        <w:lastRenderedPageBreak/>
        <w:t>7. Philips Pensioenfonds Hypotheken</w:t>
      </w:r>
      <w:bookmarkEnd w:id="46"/>
    </w:p>
    <w:p w14:paraId="125CE701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7" w:name="_Toc189140095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6.0</w:t>
      </w:r>
      <w:bookmarkEnd w:id="47"/>
    </w:p>
    <w:p w14:paraId="1116DBB2" w14:textId="6F6D6822" w:rsidR="00A94158" w:rsidRPr="00B3142E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Philips Pensioenfonds heeft een beperkte duurzaamheidsstrategie, voornamelijk gericht op financieel rendement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(Phillips Pensioenfonds, 2023a).</w:t>
      </w:r>
    </w:p>
    <w:p w14:paraId="34F6F655" w14:textId="32BB75C3" w:rsidR="00A94158" w:rsidRPr="00B3142E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benoemen duurzaamheid als aandachtspunt, maar zonder concrete doelstellingen of beleidsmaatregelen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(Phillips Pensioenfonds, 2022).</w:t>
      </w:r>
    </w:p>
    <w:p w14:paraId="0154FD57" w14:textId="5A9D1632" w:rsidR="00A94158" w:rsidRPr="00B3142E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nadruk ligt meer op traditionele financiering dan op innovatie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(Rabobank, 2023a)</w:t>
      </w:r>
    </w:p>
    <w:p w14:paraId="348799A5" w14:textId="53D273DF" w:rsidR="00A94158" w:rsidRPr="00B3142E" w:rsidRDefault="00A94158" w:rsidP="00A94158">
      <w:pPr>
        <w:numPr>
          <w:ilvl w:val="0"/>
          <w:numId w:val="25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en Rabobank scoort het fonds aanzienlijk lager op dit punt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511E1AC5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8" w:name="_Toc189140096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6.3</w:t>
      </w:r>
      <w:bookmarkEnd w:id="48"/>
    </w:p>
    <w:p w14:paraId="0AF5D604" w14:textId="2931D40E" w:rsidR="00A94158" w:rsidRPr="00B3142E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fonds biedt beperkte ondersteuning voor milieuvriendelijke initiatieven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(Phillips Pensioenfonds, 2023b).</w:t>
      </w:r>
    </w:p>
    <w:p w14:paraId="14201C8A" w14:textId="1C8CD0F2" w:rsidR="00A94158" w:rsidRPr="00B3142E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hebben geen specifiek beleid voor investeringen in duurzame energie of energiebesparende projecten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(Phillips Pensioenfonds, 2022).</w:t>
      </w:r>
    </w:p>
    <w:p w14:paraId="2EF39FBE" w14:textId="544D1760" w:rsidR="00A94158" w:rsidRPr="00B3142E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In vergelijking met Triodos is hun impact op milieuvriendelijke projecten minimaal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(Triodos Bank, 2023).</w:t>
      </w:r>
    </w:p>
    <w:p w14:paraId="53440C0C" w14:textId="59FC3520" w:rsidR="00A94158" w:rsidRPr="00B3142E" w:rsidRDefault="00A94158" w:rsidP="00A94158">
      <w:pPr>
        <w:numPr>
          <w:ilvl w:val="0"/>
          <w:numId w:val="26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Hun initiatieven missen zowel schaal als innovatie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(MUNT Hypotheken, 2023a).</w:t>
      </w:r>
    </w:p>
    <w:p w14:paraId="748F01E5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49" w:name="_Toc189140097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6.0</w:t>
      </w:r>
      <w:bookmarkEnd w:id="49"/>
    </w:p>
    <w:p w14:paraId="2D48B0B8" w14:textId="0F64BE0C" w:rsidR="00A94158" w:rsidRPr="00B3142E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Philips Pensioenfonds biedt weinig op het gebied van duurzame hypotheekproducten</w:t>
      </w:r>
      <w:r w:rsidR="00400097">
        <w:rPr>
          <w:rFonts w:ascii="Aptos" w:eastAsia="Times New Roman" w:hAnsi="Aptos" w:cs="Arial"/>
          <w:szCs w:val="24"/>
          <w:lang w:eastAsia="nl-NL"/>
        </w:rPr>
        <w:t xml:space="preserve"> (Phillips Pensioenfonds, 2023a)</w:t>
      </w:r>
    </w:p>
    <w:p w14:paraId="58B0465A" w14:textId="0BE1DC20" w:rsidR="00A94158" w:rsidRPr="00B3142E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bieden geen groene hypotheken of andere specifieke financieringsopties voor duurzaamheid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(Phillips Pensioenfonds, 2022).</w:t>
      </w:r>
    </w:p>
    <w:p w14:paraId="7D87DDC8" w14:textId="4AA785DB" w:rsidR="00A94158" w:rsidRPr="00B3142E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fonds richt zich voornamelijk op standaardhypotheken zonder extra stimulans voor verduurzaming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(Rabobank, 2023b).</w:t>
      </w:r>
    </w:p>
    <w:p w14:paraId="605441DB" w14:textId="671FF188" w:rsidR="00A94158" w:rsidRPr="00B3142E" w:rsidRDefault="00A94158" w:rsidP="00A94158">
      <w:pPr>
        <w:numPr>
          <w:ilvl w:val="0"/>
          <w:numId w:val="27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Dit maakt hen minder concurrerend dan aanbieders zoals Triodos en MUNT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(MUNT Hypotheken, 2023b).</w:t>
      </w:r>
    </w:p>
    <w:p w14:paraId="1B6F66AC" w14:textId="77777777" w:rsidR="00A94158" w:rsidRPr="00B3142E" w:rsidRDefault="00A9415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50" w:name="_Toc189140098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5.5</w:t>
      </w:r>
      <w:bookmarkEnd w:id="50"/>
    </w:p>
    <w:p w14:paraId="1BC28E7B" w14:textId="11AE8407" w:rsidR="00A94158" w:rsidRPr="00B3142E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Het fonds verstrekt nauwelijks informatie over klimaatrisico’s en hun impact op vastgoed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(Phillips Pensioenfonds, 2022).</w:t>
      </w:r>
    </w:p>
    <w:p w14:paraId="11E0CECA" w14:textId="433D20D7" w:rsidR="00A94158" w:rsidRPr="00B3142E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Rapportages zijn algemeen en missen relevante details voor klanten.</w:t>
      </w:r>
    </w:p>
    <w:p w14:paraId="7869E782" w14:textId="45AEA028" w:rsidR="00A94158" w:rsidRPr="00B3142E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Ze lopen achter op aanbieders zoals Triodos en Rabobank, die veel transparanter zijn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(Triodos Bank, 2023; Rabobank, 2023a).</w:t>
      </w:r>
    </w:p>
    <w:p w14:paraId="11E3550C" w14:textId="2C6E8D6D" w:rsidR="00A94158" w:rsidRPr="00B3142E" w:rsidRDefault="00A94158" w:rsidP="00A94158">
      <w:pPr>
        <w:numPr>
          <w:ilvl w:val="0"/>
          <w:numId w:val="28"/>
        </w:numPr>
        <w:spacing w:before="100" w:beforeAutospacing="1" w:after="100" w:afterAutospacing="1"/>
        <w:rPr>
          <w:rFonts w:ascii="Aptos" w:eastAsia="Times New Roman" w:hAnsi="Aptos" w:cs="Arial"/>
          <w:szCs w:val="24"/>
          <w:lang w:eastAsia="nl-NL"/>
        </w:rPr>
      </w:pPr>
      <w:r w:rsidRPr="00B3142E">
        <w:rPr>
          <w:rFonts w:ascii="Aptos" w:eastAsia="Times New Roman" w:hAnsi="Aptos" w:cs="Arial"/>
          <w:szCs w:val="24"/>
          <w:lang w:eastAsia="nl-NL"/>
        </w:rPr>
        <w:t>De aanpak is reactief en biedt weinig waarde voor klanten die zich zorgen maken over klimaatrisico’s</w:t>
      </w:r>
      <w:r w:rsidR="001A1599">
        <w:rPr>
          <w:rFonts w:ascii="Aptos" w:eastAsia="Times New Roman" w:hAnsi="Aptos" w:cs="Arial"/>
          <w:szCs w:val="24"/>
          <w:lang w:eastAsia="nl-NL"/>
        </w:rPr>
        <w:t xml:space="preserve"> (ABN AMRO, 2023).</w:t>
      </w:r>
    </w:p>
    <w:p w14:paraId="59CA3559" w14:textId="227657AA" w:rsidR="00A94158" w:rsidRPr="00B3142E" w:rsidRDefault="00A94158" w:rsidP="00A94158">
      <w:pPr>
        <w:spacing w:before="100" w:beforeAutospacing="1" w:after="100" w:afterAutospacing="1"/>
        <w:ind w:left="720"/>
        <w:rPr>
          <w:rFonts w:ascii="Aptos" w:eastAsia="Times New Roman" w:hAnsi="Aptos" w:cs="Arial"/>
          <w:szCs w:val="24"/>
          <w:lang w:eastAsia="nl-NL"/>
        </w:rPr>
      </w:pPr>
    </w:p>
    <w:p w14:paraId="6AF45940" w14:textId="77777777" w:rsidR="009666D4" w:rsidRPr="00B3142E" w:rsidRDefault="009666D4">
      <w:pPr>
        <w:rPr>
          <w:rFonts w:ascii="Aptos" w:eastAsia="Times New Roman" w:hAnsi="Aptos" w:cs="Arial"/>
          <w:b/>
          <w:szCs w:val="24"/>
          <w:lang w:eastAsia="nl-NL"/>
        </w:rPr>
      </w:pPr>
      <w:r w:rsidRPr="00B3142E">
        <w:rPr>
          <w:rFonts w:ascii="Aptos" w:eastAsia="Times New Roman" w:hAnsi="Aptos" w:cs="Arial"/>
          <w:b/>
          <w:szCs w:val="24"/>
          <w:lang w:eastAsia="nl-NL"/>
        </w:rPr>
        <w:br w:type="page"/>
      </w:r>
    </w:p>
    <w:p w14:paraId="3FC62916" w14:textId="77777777" w:rsidR="009666D4" w:rsidRPr="00B3142E" w:rsidRDefault="00FF20F8" w:rsidP="00B3142E">
      <w:pPr>
        <w:pStyle w:val="Heading1"/>
        <w:rPr>
          <w:rFonts w:eastAsia="Times New Roman"/>
          <w:lang w:eastAsia="nl-NL"/>
        </w:rPr>
      </w:pPr>
      <w:bookmarkStart w:id="51" w:name="_Toc189140099"/>
      <w:r w:rsidRPr="00B3142E">
        <w:rPr>
          <w:rFonts w:eastAsia="Times New Roman"/>
          <w:lang w:eastAsia="nl-NL"/>
        </w:rPr>
        <w:lastRenderedPageBreak/>
        <w:t>8. Aegon</w:t>
      </w:r>
      <w:bookmarkEnd w:id="51"/>
    </w:p>
    <w:p w14:paraId="4944DEFE" w14:textId="5237BFCE" w:rsidR="00FF20F8" w:rsidRPr="00B3142E" w:rsidRDefault="00FF20F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r w:rsidRPr="00B3142E">
        <w:rPr>
          <w:rFonts w:ascii="Aptos" w:eastAsia="Times New Roman" w:hAnsi="Aptos"/>
          <w:bCs w:val="0"/>
          <w:sz w:val="24"/>
          <w:szCs w:val="24"/>
          <w:lang w:eastAsia="nl-NL"/>
        </w:rPr>
        <w:br/>
      </w:r>
      <w:bookmarkStart w:id="52" w:name="_Toc189140100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7.2</w:t>
      </w:r>
      <w:bookmarkEnd w:id="52"/>
    </w:p>
    <w:p w14:paraId="722B8193" w14:textId="3A39D2C2" w:rsidR="00FF20F8" w:rsidRPr="00B3142E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Aegon heeft duurzaamheid geïntegreerd in hun strategie, met specifieke doelen voor CO2-reductie en energiebesparing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2023a).</w:t>
      </w:r>
    </w:p>
    <w:p w14:paraId="0A16D34D" w14:textId="1740B06B" w:rsidR="00FF20F8" w:rsidRPr="00B3142E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Het beleid richt zich echter meer op financiële prestaties dan op milieu- en sociale aspecten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2022).</w:t>
      </w:r>
    </w:p>
    <w:p w14:paraId="28B4DDDB" w14:textId="2B84C1BB" w:rsidR="00FF20F8" w:rsidRPr="00B3142E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Triodos en MUNT Hypotheken ontbreekt er een duidelijke focus op circulaire economie en hernieuwbare energie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2023; MUNT Hypotheken, 2023a)</w:t>
      </w:r>
    </w:p>
    <w:p w14:paraId="3DAFECD5" w14:textId="11571CB6" w:rsidR="00FF20F8" w:rsidRPr="00B3142E" w:rsidRDefault="00FF20F8" w:rsidP="00FF20F8">
      <w:pPr>
        <w:numPr>
          <w:ilvl w:val="0"/>
          <w:numId w:val="3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Het beleid is solide, maar mist de ambitie en diepgang van sommige concurrenten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2023a).</w:t>
      </w:r>
    </w:p>
    <w:p w14:paraId="211D6BCA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53" w:name="_Toc189140101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7.0</w:t>
      </w:r>
      <w:bookmarkEnd w:id="53"/>
    </w:p>
    <w:p w14:paraId="00BCF802" w14:textId="7C733810" w:rsidR="00FF20F8" w:rsidRPr="00B3142E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Aegon biedt klanten de mogelijkheid om extra te lenen voor energiebesparende maatregelen, zoals isolatie en zonnepanelen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 2023b).</w:t>
      </w:r>
    </w:p>
    <w:p w14:paraId="6C830D1C" w14:textId="368EA8AB" w:rsidR="00FF20F8" w:rsidRPr="00B3142E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hebben echter minder gerichte samenwerkingen met overheden of energieleveranciers dan bijvoorbeeld Rabobank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2023b).</w:t>
      </w:r>
    </w:p>
    <w:p w14:paraId="7A9AE7B3" w14:textId="5AA31E06" w:rsidR="00FF20F8" w:rsidRPr="00B3142E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Triodos en MUNT Hypotheken is de impact van Aegon op groene energieprojecten beperkt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2023; MUNT Hypotheken, 2023a).</w:t>
      </w:r>
    </w:p>
    <w:p w14:paraId="23B7C56D" w14:textId="72F71BC9" w:rsidR="00FF20F8" w:rsidRPr="00B3142E" w:rsidRDefault="00FF20F8" w:rsidP="00FF20F8">
      <w:pPr>
        <w:numPr>
          <w:ilvl w:val="0"/>
          <w:numId w:val="3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het aanbod nuttig is, missen ze de innovatieve benadering die andere aanbieders wel tonen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2022).</w:t>
      </w:r>
    </w:p>
    <w:p w14:paraId="5C1DA2C4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54" w:name="_Toc189140102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6.8</w:t>
      </w:r>
      <w:bookmarkEnd w:id="54"/>
    </w:p>
    <w:p w14:paraId="77FA0D92" w14:textId="1D455DF4" w:rsidR="00FF20F8" w:rsidRPr="00B3142E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Aegon biedt een groene hypotheek, maar de voorwaarden zijn minder aantrekkelijk dan die van MUNT Hypotheken en Triodos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2023b).</w:t>
      </w:r>
    </w:p>
    <w:p w14:paraId="4EE7881C" w14:textId="4908F1C0" w:rsidR="00FF20F8" w:rsidRPr="00B3142E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bieden ook leningen voor verduurzaming, maar de financieringsopties zijn beperkter en minder flexibel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(MUNT Hypotheken, 2023b).</w:t>
      </w:r>
    </w:p>
    <w:p w14:paraId="235D6D92" w14:textId="53C8599D" w:rsidR="00FF20F8" w:rsidRPr="00B3142E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MUNT Hypotheken ontbreekt het bij Aegon aan specifieke producten voor circulaire bouwprojecten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2022).</w:t>
      </w:r>
    </w:p>
    <w:p w14:paraId="524133E2" w14:textId="798D80AA" w:rsidR="00FF20F8" w:rsidRPr="00B3142E" w:rsidRDefault="00FF20F8" w:rsidP="00FF20F8">
      <w:pPr>
        <w:numPr>
          <w:ilvl w:val="0"/>
          <w:numId w:val="37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Het aanbod is aanwezig, maar mist de differentiatie en aantrekkelijkheid die de marktleiders bieden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2D79ADA3" w14:textId="77777777" w:rsidR="009739E4" w:rsidRDefault="009739E4">
      <w:pPr>
        <w:rPr>
          <w:rFonts w:ascii="Aptos" w:eastAsia="Times New Roman" w:hAnsi="Aptos" w:cstheme="majorBidi"/>
          <w:color w:val="538135" w:themeColor="accent6" w:themeShade="BF"/>
          <w:szCs w:val="24"/>
          <w:lang w:eastAsia="nl-NL"/>
        </w:rPr>
      </w:pPr>
      <w:r>
        <w:rPr>
          <w:rFonts w:ascii="Aptos" w:eastAsia="Times New Roman" w:hAnsi="Aptos"/>
          <w:szCs w:val="24"/>
          <w:lang w:eastAsia="nl-NL"/>
        </w:rPr>
        <w:br w:type="page"/>
      </w:r>
    </w:p>
    <w:p w14:paraId="2A7047A2" w14:textId="0E069473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55" w:name="_Toc189140103"/>
      <w:r w:rsidRPr="00B3142E">
        <w:rPr>
          <w:rFonts w:ascii="Aptos" w:eastAsia="Times New Roman" w:hAnsi="Aptos"/>
          <w:sz w:val="24"/>
          <w:szCs w:val="24"/>
          <w:lang w:eastAsia="nl-NL"/>
        </w:rPr>
        <w:lastRenderedPageBreak/>
        <w:t>Klimaatrisico’s (20%) - Score: 7.5</w:t>
      </w:r>
      <w:bookmarkEnd w:id="55"/>
    </w:p>
    <w:p w14:paraId="3078E639" w14:textId="6791AB7C" w:rsidR="00FF20F8" w:rsidRPr="00B3142E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Aegon publiceert rapporten over klimaatrisico’s, maar de informatie is niet altijd zo gedetailleerd of specifiek als die van Triodos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(Aegon, 2023a).</w:t>
      </w:r>
    </w:p>
    <w:p w14:paraId="2924E06A" w14:textId="0305441A" w:rsidR="00FF20F8" w:rsidRPr="00B3142E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hebben enige aandacht voor de gevolgen van klimaatverandering op vastgoed, maar het ontbreekt aan concrete klantgerichte acties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2023a).</w:t>
      </w:r>
    </w:p>
    <w:p w14:paraId="06C215D5" w14:textId="685A1F21" w:rsidR="00FF20F8" w:rsidRPr="00B3142E" w:rsidRDefault="00FF20F8" w:rsidP="00FF20F8">
      <w:pPr>
        <w:numPr>
          <w:ilvl w:val="0"/>
          <w:numId w:val="38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Vergeleken met Rabobank is er minder focus op regionale risico’s en oplossingen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2023b).</w:t>
      </w:r>
    </w:p>
    <w:p w14:paraId="32F2F3DB" w14:textId="11978330" w:rsidR="00B3142E" w:rsidRDefault="00FF20F8" w:rsidP="00B3142E">
      <w:pPr>
        <w:numPr>
          <w:ilvl w:val="0"/>
          <w:numId w:val="38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Aegon zich bewust is van de risico’s, zijn hun rapportages minder uitgebreid dan die van koplopers in de sector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2E65E159" w14:textId="77777777" w:rsidR="00A222F8" w:rsidRDefault="00A222F8">
      <w:pPr>
        <w:rPr>
          <w:rFonts w:asciiTheme="majorHAnsi" w:eastAsia="Times New Roman" w:hAnsiTheme="majorHAnsi" w:cstheme="majorBidi"/>
          <w:color w:val="538135" w:themeColor="accent6" w:themeShade="BF"/>
          <w:sz w:val="40"/>
          <w:szCs w:val="40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777822F7" w14:textId="075A4DC3" w:rsidR="00B3142E" w:rsidRDefault="00FF20F8" w:rsidP="00B3142E">
      <w:pPr>
        <w:pStyle w:val="Heading1"/>
        <w:rPr>
          <w:rFonts w:ascii="Aptos" w:eastAsia="Times New Roman" w:hAnsi="Aptos"/>
          <w:sz w:val="24"/>
          <w:szCs w:val="24"/>
          <w:lang w:eastAsia="nl-NL"/>
        </w:rPr>
      </w:pPr>
      <w:bookmarkStart w:id="56" w:name="_Toc189140104"/>
      <w:r w:rsidRPr="00B3142E">
        <w:rPr>
          <w:rFonts w:eastAsia="Times New Roman"/>
          <w:lang w:eastAsia="nl-NL"/>
        </w:rPr>
        <w:lastRenderedPageBreak/>
        <w:t>9. Centraal Beheer</w:t>
      </w:r>
      <w:bookmarkEnd w:id="56"/>
      <w:r w:rsidRPr="00B3142E">
        <w:rPr>
          <w:rFonts w:eastAsia="Times New Roman"/>
          <w:bCs w:val="0"/>
          <w:lang w:eastAsia="nl-NL"/>
        </w:rPr>
        <w:br/>
      </w:r>
    </w:p>
    <w:p w14:paraId="08890FB4" w14:textId="24A8B6C3" w:rsidR="00FF20F8" w:rsidRPr="00B3142E" w:rsidRDefault="00FF20F8" w:rsidP="00B3142E">
      <w:pPr>
        <w:pStyle w:val="Heading1"/>
        <w:rPr>
          <w:rFonts w:eastAsia="Times New Roman" w:cs="Arial"/>
          <w:bCs w:val="0"/>
          <w:lang w:eastAsia="nl-NL"/>
        </w:rPr>
      </w:pPr>
      <w:bookmarkStart w:id="57" w:name="_Toc189140105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7.0</w:t>
      </w:r>
      <w:bookmarkEnd w:id="57"/>
    </w:p>
    <w:p w14:paraId="0D2C1142" w14:textId="709B13FE" w:rsidR="00FF20F8" w:rsidRPr="00B3142E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Centraal Beheer heeft een duurzaamheidsstrategie die zich richt op energie-efficiëntie en maatschappelijke verantwoordelijkheid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2023a).</w:t>
      </w:r>
    </w:p>
    <w:p w14:paraId="6E9ED289" w14:textId="173E1913" w:rsidR="00FF20F8" w:rsidRPr="00B3142E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er duidelijke doelstellingen zijn voor verduurzaming, ontbreken concrete plannen voor CO2-neutraliteit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2022).</w:t>
      </w:r>
    </w:p>
    <w:p w14:paraId="5DFFCF7F" w14:textId="26D3FFF3" w:rsidR="00FF20F8" w:rsidRPr="00B3142E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Triodos en MUNT Hypotheken is het beleid minder gedetailleerd en ambitieus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2023; MUNT Hypotheken, 2023a).</w:t>
      </w:r>
    </w:p>
    <w:p w14:paraId="39C83366" w14:textId="0EA1AF09" w:rsidR="00FF20F8" w:rsidRPr="00B3142E" w:rsidRDefault="00FF20F8" w:rsidP="00FF20F8">
      <w:pPr>
        <w:numPr>
          <w:ilvl w:val="0"/>
          <w:numId w:val="39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richten zich wel op verduurzaming, maar missen een diepgaande benadering van sociale duurzaamheid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2023a)</w:t>
      </w:r>
    </w:p>
    <w:p w14:paraId="506897FC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58" w:name="_Toc189140106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6.8</w:t>
      </w:r>
      <w:bookmarkEnd w:id="58"/>
    </w:p>
    <w:p w14:paraId="579B86C5" w14:textId="759FEA06" w:rsidR="00FF20F8" w:rsidRPr="00B3142E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Centraal Beheer biedt hypotheken aan waarmee klanten kunnen verduurzamen, maar hun initiatieven zijn minder uitgebreid dan bij andere aanbieders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2023b).</w:t>
      </w:r>
    </w:p>
    <w:p w14:paraId="048E26CF" w14:textId="46DD0F8E" w:rsidR="00FF20F8" w:rsidRPr="00B3142E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werken samen met energieadviseurs, maar de impact van deze initiatieven is relatief klein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>Centraal Beheer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>, 202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>2</w:t>
      </w:r>
      <w:r w:rsidR="001A1599">
        <w:rPr>
          <w:rFonts w:ascii="Aptos" w:eastAsia="Times New Roman" w:hAnsi="Aptos" w:cs="Arial"/>
          <w:bCs w:val="0"/>
          <w:szCs w:val="24"/>
          <w:lang w:eastAsia="nl-NL"/>
        </w:rPr>
        <w:t>).</w:t>
      </w:r>
    </w:p>
    <w:p w14:paraId="5C73949C" w14:textId="1261E8E3" w:rsidR="00FF20F8" w:rsidRPr="00B3142E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Vergeleken met Triodos is hun betrokkenheid bij groene energieprojecten minimaal</w:t>
      </w:r>
      <w:r w:rsidR="00A222F8" w:rsidRPr="00A222F8">
        <w:rPr>
          <w:rFonts w:ascii="Aptos" w:eastAsia="Times New Roman" w:hAnsi="Aptos" w:cs="Arial"/>
          <w:bCs w:val="0"/>
          <w:szCs w:val="24"/>
          <w:lang w:eastAsia="nl-NL"/>
        </w:rPr>
        <w:t xml:space="preserve"> 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>(Triodos Bank, 2023).</w:t>
      </w:r>
    </w:p>
    <w:p w14:paraId="59191477" w14:textId="6511802C" w:rsidR="00FF20F8" w:rsidRPr="00B3142E" w:rsidRDefault="00FF20F8" w:rsidP="00FF20F8">
      <w:pPr>
        <w:numPr>
          <w:ilvl w:val="0"/>
          <w:numId w:val="40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Het aanbod is nuttig, maar mist de schaal en de innovatieve aanpak van leidende banken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(MUNT Hypotheken, 2023b).</w:t>
      </w:r>
    </w:p>
    <w:p w14:paraId="3232F35F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59" w:name="_Toc189140107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6.5</w:t>
      </w:r>
      <w:bookmarkEnd w:id="59"/>
    </w:p>
    <w:p w14:paraId="67AF4AB1" w14:textId="092BE2CC" w:rsidR="00FF20F8" w:rsidRPr="00B3142E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Centraal Beheer biedt een groene hypotheek, maar de voorwaarden zijn minder flexibel dan die van bijvoorbeeld Rabobank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2023a).</w:t>
      </w:r>
    </w:p>
    <w:p w14:paraId="4AD15792" w14:textId="4FE13485" w:rsidR="00FF20F8" w:rsidRPr="00B3142E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bieden geen specifieke producten voor circulaire bouw of andere geavanceerde duurzame projecten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2022).</w:t>
      </w:r>
    </w:p>
    <w:p w14:paraId="5C194BC3" w14:textId="3939E647" w:rsidR="00FF20F8" w:rsidRPr="00B3142E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ze een groen product aanbieden, blijven ze achter op het gebied van innovatieve financieringsopties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517C5BDE" w14:textId="47D0979A" w:rsidR="00FF20F8" w:rsidRPr="00B3142E" w:rsidRDefault="00FF20F8" w:rsidP="00FF20F8">
      <w:pPr>
        <w:numPr>
          <w:ilvl w:val="0"/>
          <w:numId w:val="41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Vergeleken met andere aanbieders is het aanbod op dit vlak beperkter en minder gedifferentieerd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(MUNT Hypotheken, 2023a).</w:t>
      </w:r>
    </w:p>
    <w:p w14:paraId="7C1354B6" w14:textId="77777777" w:rsidR="009739E4" w:rsidRDefault="009739E4">
      <w:pPr>
        <w:rPr>
          <w:rFonts w:ascii="Aptos" w:eastAsia="Times New Roman" w:hAnsi="Aptos" w:cstheme="majorBidi"/>
          <w:color w:val="538135" w:themeColor="accent6" w:themeShade="BF"/>
          <w:szCs w:val="24"/>
          <w:lang w:eastAsia="nl-NL"/>
        </w:rPr>
      </w:pPr>
      <w:r>
        <w:rPr>
          <w:rFonts w:ascii="Aptos" w:eastAsia="Times New Roman" w:hAnsi="Aptos"/>
          <w:szCs w:val="24"/>
          <w:lang w:eastAsia="nl-NL"/>
        </w:rPr>
        <w:br w:type="page"/>
      </w:r>
    </w:p>
    <w:p w14:paraId="2ADD404C" w14:textId="057F34A5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60" w:name="_Toc189140108"/>
      <w:r w:rsidRPr="00B3142E">
        <w:rPr>
          <w:rFonts w:ascii="Aptos" w:eastAsia="Times New Roman" w:hAnsi="Aptos"/>
          <w:sz w:val="24"/>
          <w:szCs w:val="24"/>
          <w:lang w:eastAsia="nl-NL"/>
        </w:rPr>
        <w:lastRenderedPageBreak/>
        <w:t>Klimaatrisico’s (20%) - Score: 6.7</w:t>
      </w:r>
      <w:bookmarkEnd w:id="60"/>
    </w:p>
    <w:p w14:paraId="04F865A0" w14:textId="6BEDD8CA" w:rsidR="00FF20F8" w:rsidRPr="00B3142E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Centraal Beheer biedt basisinformatie over klimaatrisico’s, maar de rapportages zijn minder gedetailleerd dan die van Triodos en Rabobank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(Centraal Beheer, 2023b).</w:t>
      </w:r>
    </w:p>
    <w:p w14:paraId="485F5F93" w14:textId="5803F496" w:rsidR="00FF20F8" w:rsidRPr="00B3142E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geven enige informatie over algemene risico’s, maar de specifieke impact op vastgoed wordt onvoldoende behandeld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2023b).</w:t>
      </w:r>
    </w:p>
    <w:p w14:paraId="0DE269F0" w14:textId="235DB160" w:rsidR="00FF20F8" w:rsidRPr="00B3142E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Triodos is er weinig aandacht voor klimaatadaptatie of gedetailleerde risicobeoordeling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4206E65E" w14:textId="08C1E24E" w:rsidR="00FF20F8" w:rsidRPr="00B3142E" w:rsidRDefault="00FF20F8" w:rsidP="00FF20F8">
      <w:pPr>
        <w:numPr>
          <w:ilvl w:val="0"/>
          <w:numId w:val="42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Centraal Beheer zich bewust is van klimaatrisico’s, biedt hun aanpak weinig concrete handvatten voor klanten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(Aegon, 2023a).</w:t>
      </w:r>
    </w:p>
    <w:p w14:paraId="0CCD77A8" w14:textId="77777777" w:rsidR="00A222F8" w:rsidRDefault="00A222F8">
      <w:pPr>
        <w:rPr>
          <w:rFonts w:asciiTheme="majorHAnsi" w:eastAsia="Times New Roman" w:hAnsiTheme="majorHAnsi" w:cstheme="majorBidi"/>
          <w:color w:val="538135" w:themeColor="accent6" w:themeShade="BF"/>
          <w:sz w:val="40"/>
          <w:szCs w:val="40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3068AE3E" w14:textId="44DDD1FC" w:rsidR="00FF20F8" w:rsidRPr="00B3142E" w:rsidRDefault="00FF20F8" w:rsidP="00B3142E">
      <w:pPr>
        <w:pStyle w:val="Heading1"/>
        <w:rPr>
          <w:rFonts w:ascii="Aptos" w:eastAsia="Times New Roman" w:hAnsi="Aptos" w:cs="Arial"/>
          <w:b/>
          <w:szCs w:val="24"/>
          <w:lang w:eastAsia="nl-NL"/>
        </w:rPr>
      </w:pPr>
      <w:bookmarkStart w:id="61" w:name="_Toc189140109"/>
      <w:r w:rsidRPr="00B3142E">
        <w:rPr>
          <w:rFonts w:eastAsia="Times New Roman"/>
          <w:lang w:eastAsia="nl-NL"/>
        </w:rPr>
        <w:lastRenderedPageBreak/>
        <w:t xml:space="preserve">10. </w:t>
      </w:r>
      <w:proofErr w:type="spellStart"/>
      <w:r w:rsidRPr="00B3142E">
        <w:rPr>
          <w:rFonts w:eastAsia="Times New Roman"/>
          <w:lang w:eastAsia="nl-NL"/>
        </w:rPr>
        <w:t>Obvion</w:t>
      </w:r>
      <w:bookmarkEnd w:id="61"/>
      <w:proofErr w:type="spellEnd"/>
      <w:r w:rsidRPr="00B3142E">
        <w:rPr>
          <w:rFonts w:eastAsia="Times New Roman"/>
          <w:bCs w:val="0"/>
          <w:lang w:eastAsia="nl-NL"/>
        </w:rPr>
        <w:br/>
      </w:r>
    </w:p>
    <w:p w14:paraId="7BAB7038" w14:textId="03460634" w:rsidR="00FF20F8" w:rsidRPr="00B3142E" w:rsidRDefault="00FF20F8" w:rsidP="009666D4">
      <w:pPr>
        <w:pStyle w:val="Heading2"/>
        <w:rPr>
          <w:rFonts w:ascii="Aptos" w:eastAsia="Times New Roman" w:hAnsi="Aptos"/>
          <w:sz w:val="24"/>
          <w:szCs w:val="24"/>
          <w:lang w:eastAsia="nl-NL"/>
        </w:rPr>
      </w:pPr>
      <w:bookmarkStart w:id="62" w:name="_Toc189140110"/>
      <w:r w:rsidRPr="00B3142E">
        <w:rPr>
          <w:rFonts w:ascii="Aptos" w:eastAsia="Times New Roman" w:hAnsi="Aptos"/>
          <w:sz w:val="24"/>
          <w:szCs w:val="24"/>
          <w:lang w:eastAsia="nl-NL"/>
        </w:rPr>
        <w:t>Duurzaamheidsbeleid (32,5%) - Score: 7.3</w:t>
      </w:r>
      <w:bookmarkEnd w:id="62"/>
    </w:p>
    <w:p w14:paraId="7AFD075B" w14:textId="24B87901" w:rsidR="00FF20F8" w:rsidRPr="00B3142E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heeft een duurzaamheidsstrategie die zich richt op verduurzaming van woningen, maar het beleid is minder ambitieus dan bij de koplopers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2023a).</w:t>
      </w:r>
    </w:p>
    <w:p w14:paraId="5810275E" w14:textId="6C1A12AD" w:rsidR="00FF20F8" w:rsidRPr="00B3142E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ondersteunen de energietransitie met producten voor energiezuinige woningen, maar missen concrete doelstellingen voor CO2-reductie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2022).</w:t>
      </w:r>
    </w:p>
    <w:p w14:paraId="7EC31DFB" w14:textId="6765EC04" w:rsidR="00FF20F8" w:rsidRPr="00B3142E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In vergelijking met Triodos en MUNT Hypotheken is hun strategische focus beperkter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2023; MUNT Hypotheken, 2023a).</w:t>
      </w:r>
    </w:p>
    <w:p w14:paraId="1E622869" w14:textId="438160A3" w:rsidR="00FF20F8" w:rsidRPr="00B3142E" w:rsidRDefault="00FF20F8" w:rsidP="00FF20F8">
      <w:pPr>
        <w:numPr>
          <w:ilvl w:val="0"/>
          <w:numId w:val="43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heeft een goed beleid, maar mist de brede, integrale benadering van andere aanbieders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2023a).</w:t>
      </w:r>
    </w:p>
    <w:p w14:paraId="36B51225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63" w:name="_Toc189140111"/>
      <w:r w:rsidRPr="00B3142E">
        <w:rPr>
          <w:rFonts w:ascii="Aptos" w:eastAsia="Times New Roman" w:hAnsi="Aptos"/>
          <w:sz w:val="24"/>
          <w:szCs w:val="24"/>
          <w:lang w:eastAsia="nl-NL"/>
        </w:rPr>
        <w:t>Milieuvriendelijke initiatieven (32,5%) - Score: 7.2</w:t>
      </w:r>
      <w:bookmarkEnd w:id="63"/>
    </w:p>
    <w:p w14:paraId="5B85F2A7" w14:textId="5E09E521" w:rsidR="00FF20F8" w:rsidRPr="00B3142E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biedt klanten de mogelijkheid om hun woning te verduurzamen via groene hypotheken en leningen voor energiebesparing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2023b).</w:t>
      </w:r>
    </w:p>
    <w:p w14:paraId="3CBAC902" w14:textId="331F2F33" w:rsidR="00FF20F8" w:rsidRPr="00B3142E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werken samen met energieleveranciers en adviseurs om verduurzaming te stimuleren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2022).</w:t>
      </w:r>
    </w:p>
    <w:p w14:paraId="64BE317C" w14:textId="4E913126" w:rsidR="00FF20F8" w:rsidRPr="00B3142E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Vergeleken met Rabobank en Triodos is hun betrokkenheid bij duurzame energieprojecten minder direct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2023b; Triodos Bank, 2023)</w:t>
      </w:r>
      <w:r w:rsidRPr="00B3142E">
        <w:rPr>
          <w:rFonts w:ascii="Aptos" w:eastAsia="Times New Roman" w:hAnsi="Aptos" w:cs="Arial"/>
          <w:bCs w:val="0"/>
          <w:szCs w:val="24"/>
          <w:lang w:eastAsia="nl-NL"/>
        </w:rPr>
        <w:t>.</w:t>
      </w:r>
    </w:p>
    <w:p w14:paraId="6F7D4121" w14:textId="73BC71B0" w:rsidR="00FF20F8" w:rsidRPr="00B3142E" w:rsidRDefault="00FF20F8" w:rsidP="00FF20F8">
      <w:pPr>
        <w:numPr>
          <w:ilvl w:val="0"/>
          <w:numId w:val="44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Het aanbod is nuttig voor klanten, maar mist de innovatie en impact van de toonaangevende banken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(MUNT Hypotheken, 2023a).</w:t>
      </w:r>
    </w:p>
    <w:p w14:paraId="33387C16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64" w:name="_Toc189140112"/>
      <w:r w:rsidRPr="00B3142E">
        <w:rPr>
          <w:rFonts w:ascii="Aptos" w:eastAsia="Times New Roman" w:hAnsi="Aptos"/>
          <w:sz w:val="24"/>
          <w:szCs w:val="24"/>
          <w:lang w:eastAsia="nl-NL"/>
        </w:rPr>
        <w:t>Duurzame financiële producten (15%) - Score: 6.9</w:t>
      </w:r>
      <w:bookmarkEnd w:id="64"/>
    </w:p>
    <w:p w14:paraId="18FD1D74" w14:textId="3275B623" w:rsidR="00FF20F8" w:rsidRPr="00B3142E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biedt groene hypotheken, maar de voorwaarden zijn minder aantrekkelijk dan die van MUNT Hypotheken en Triodos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2023b).</w:t>
      </w:r>
    </w:p>
    <w:p w14:paraId="415FAD3A" w14:textId="1B5F5B8B" w:rsidR="00FF20F8" w:rsidRPr="00B3142E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bieden geen specifieke financieringsopties voor circulaire bouwprojecten of andere geavanceerde duurzame initiatieven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2022).</w:t>
      </w:r>
    </w:p>
    <w:p w14:paraId="0E856BDB" w14:textId="60EBF4E8" w:rsidR="00FF20F8" w:rsidRPr="00B3142E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Hoewel ze een groen product aanbieden, blijft het aanbod achter bij de meer gespecialiseerde aanbieders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2F87659C" w14:textId="204CD8ED" w:rsidR="00FF20F8" w:rsidRPr="00B3142E" w:rsidRDefault="00FF20F8" w:rsidP="00FF20F8">
      <w:pPr>
        <w:numPr>
          <w:ilvl w:val="0"/>
          <w:numId w:val="45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De producten zijn degelijk, maar missen de breedte en flexibiliteit van de marktleiders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(Rabobank, 2023b).</w:t>
      </w:r>
    </w:p>
    <w:p w14:paraId="7851DC39" w14:textId="77777777" w:rsidR="00FF20F8" w:rsidRPr="00B3142E" w:rsidRDefault="00FF20F8" w:rsidP="009666D4">
      <w:pPr>
        <w:pStyle w:val="Heading2"/>
        <w:rPr>
          <w:rFonts w:ascii="Aptos" w:eastAsia="Times New Roman" w:hAnsi="Aptos"/>
          <w:bCs w:val="0"/>
          <w:sz w:val="24"/>
          <w:szCs w:val="24"/>
          <w:lang w:eastAsia="nl-NL"/>
        </w:rPr>
      </w:pPr>
      <w:bookmarkStart w:id="65" w:name="_Toc189140113"/>
      <w:r w:rsidRPr="00B3142E">
        <w:rPr>
          <w:rFonts w:ascii="Aptos" w:eastAsia="Times New Roman" w:hAnsi="Aptos"/>
          <w:sz w:val="24"/>
          <w:szCs w:val="24"/>
          <w:lang w:eastAsia="nl-NL"/>
        </w:rPr>
        <w:t>Klimaatrisico’s (20%) - Score: 7.0</w:t>
      </w:r>
      <w:bookmarkEnd w:id="65"/>
    </w:p>
    <w:p w14:paraId="777A6CA4" w14:textId="347069A0" w:rsidR="00FF20F8" w:rsidRPr="00B3142E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biedt beperkte informatie over klimaatrisico’s, met een focus op algemene risico’s in plaats van specifieke vastgoedimpact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</w:t>
      </w:r>
      <w:proofErr w:type="spellStart"/>
      <w:r w:rsidR="00A222F8">
        <w:rPr>
          <w:rFonts w:ascii="Aptos" w:eastAsia="Times New Roman" w:hAnsi="Aptos" w:cs="Arial"/>
          <w:bCs w:val="0"/>
          <w:szCs w:val="24"/>
          <w:lang w:eastAsia="nl-NL"/>
        </w:rPr>
        <w:t>Obvion</w:t>
      </w:r>
      <w:proofErr w:type="spellEnd"/>
      <w:r w:rsidR="00A222F8">
        <w:rPr>
          <w:rFonts w:ascii="Aptos" w:eastAsia="Times New Roman" w:hAnsi="Aptos" w:cs="Arial"/>
          <w:bCs w:val="0"/>
          <w:szCs w:val="24"/>
          <w:lang w:eastAsia="nl-NL"/>
        </w:rPr>
        <w:t>, 2023a)</w:t>
      </w:r>
    </w:p>
    <w:p w14:paraId="2EA6CC09" w14:textId="7DF38D18" w:rsidR="00FF20F8" w:rsidRPr="00B3142E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Ze geven enige informatie over klimaatverandering, maar de rapportages missen de diepgang van die van Triodos Bank</w:t>
      </w:r>
      <w:r w:rsidR="00A222F8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4FEE43DE" w14:textId="3FC63C62" w:rsidR="00FF20F8" w:rsidRPr="00B3142E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r w:rsidRPr="00B3142E">
        <w:rPr>
          <w:rFonts w:ascii="Aptos" w:eastAsia="Times New Roman" w:hAnsi="Aptos" w:cs="Arial"/>
          <w:bCs w:val="0"/>
          <w:szCs w:val="24"/>
          <w:lang w:eastAsia="nl-NL"/>
        </w:rPr>
        <w:t>Vergeleken met andere aanbieders zoals Rabobank zijn ze minder gedetailleerd in hun risicobeoordeling</w:t>
      </w:r>
      <w:r w:rsidR="00CE28DE">
        <w:rPr>
          <w:rFonts w:ascii="Aptos" w:eastAsia="Times New Roman" w:hAnsi="Aptos" w:cs="Arial"/>
          <w:bCs w:val="0"/>
          <w:szCs w:val="24"/>
          <w:lang w:eastAsia="nl-NL"/>
        </w:rPr>
        <w:t xml:space="preserve"> (Triodos Bank, 2023).</w:t>
      </w:r>
    </w:p>
    <w:p w14:paraId="02AE8A3F" w14:textId="4C91323B" w:rsidR="00FF20F8" w:rsidRPr="00B3142E" w:rsidRDefault="00FF20F8" w:rsidP="00FF20F8">
      <w:pPr>
        <w:numPr>
          <w:ilvl w:val="0"/>
          <w:numId w:val="46"/>
        </w:numPr>
        <w:spacing w:before="100" w:beforeAutospacing="1" w:after="100" w:afterAutospacing="1"/>
        <w:rPr>
          <w:rFonts w:ascii="Aptos" w:eastAsia="Times New Roman" w:hAnsi="Aptos" w:cs="Arial"/>
          <w:bCs w:val="0"/>
          <w:szCs w:val="24"/>
          <w:lang w:eastAsia="nl-NL"/>
        </w:rPr>
      </w:pPr>
      <w:proofErr w:type="spellStart"/>
      <w:r w:rsidRPr="00B3142E">
        <w:rPr>
          <w:rFonts w:ascii="Aptos" w:eastAsia="Times New Roman" w:hAnsi="Aptos" w:cs="Arial"/>
          <w:bCs w:val="0"/>
          <w:szCs w:val="24"/>
          <w:lang w:eastAsia="nl-NL"/>
        </w:rPr>
        <w:lastRenderedPageBreak/>
        <w:t>Obvion</w:t>
      </w:r>
      <w:proofErr w:type="spellEnd"/>
      <w:r w:rsidRPr="00B3142E">
        <w:rPr>
          <w:rFonts w:ascii="Aptos" w:eastAsia="Times New Roman" w:hAnsi="Aptos" w:cs="Arial"/>
          <w:bCs w:val="0"/>
          <w:szCs w:val="24"/>
          <w:lang w:eastAsia="nl-NL"/>
        </w:rPr>
        <w:t xml:space="preserve"> is zich bewust van de klimaatrisico’s, maar de aanpak mist de diepgang en actiegerichtheid van koplopers in de sector</w:t>
      </w:r>
      <w:r w:rsidR="00CE28DE">
        <w:rPr>
          <w:rFonts w:ascii="Aptos" w:eastAsia="Times New Roman" w:hAnsi="Aptos" w:cs="Arial"/>
          <w:bCs w:val="0"/>
          <w:szCs w:val="24"/>
          <w:lang w:eastAsia="nl-NL"/>
        </w:rPr>
        <w:t xml:space="preserve"> (Aegon, 2023a)</w:t>
      </w:r>
      <w:r w:rsidRPr="00B3142E">
        <w:rPr>
          <w:rFonts w:ascii="Aptos" w:eastAsia="Times New Roman" w:hAnsi="Aptos" w:cs="Arial"/>
          <w:bCs w:val="0"/>
          <w:szCs w:val="24"/>
          <w:lang w:eastAsia="nl-NL"/>
        </w:rPr>
        <w:t>.</w:t>
      </w:r>
    </w:p>
    <w:p w14:paraId="759F80A0" w14:textId="77777777" w:rsidR="009739E4" w:rsidRDefault="009739E4" w:rsidP="00B3142E">
      <w:pPr>
        <w:pStyle w:val="Heading1"/>
        <w:rPr>
          <w:rFonts w:eastAsia="Times New Roman"/>
          <w:lang w:eastAsia="nl-NL"/>
        </w:rPr>
      </w:pPr>
    </w:p>
    <w:p w14:paraId="0E74304E" w14:textId="77777777" w:rsidR="009739E4" w:rsidRDefault="009739E4">
      <w:pPr>
        <w:rPr>
          <w:rFonts w:asciiTheme="majorHAnsi" w:eastAsia="Times New Roman" w:hAnsiTheme="majorHAnsi" w:cstheme="majorBidi"/>
          <w:color w:val="538135" w:themeColor="accent6" w:themeShade="BF"/>
          <w:sz w:val="40"/>
          <w:szCs w:val="40"/>
          <w:lang w:eastAsia="nl-NL"/>
        </w:rPr>
      </w:pPr>
      <w:r>
        <w:rPr>
          <w:rFonts w:eastAsia="Times New Roman"/>
          <w:lang w:eastAsia="nl-NL"/>
        </w:rPr>
        <w:br w:type="page"/>
      </w:r>
    </w:p>
    <w:p w14:paraId="791BDCDB" w14:textId="03166D85" w:rsidR="00412090" w:rsidRDefault="00B3142E" w:rsidP="00B3142E">
      <w:pPr>
        <w:pStyle w:val="Heading1"/>
        <w:rPr>
          <w:rFonts w:eastAsia="Times New Roman"/>
          <w:lang w:eastAsia="nl-NL"/>
        </w:rPr>
      </w:pPr>
      <w:bookmarkStart w:id="66" w:name="_Toc189140114"/>
      <w:r>
        <w:rPr>
          <w:rFonts w:eastAsia="Times New Roman"/>
          <w:lang w:eastAsia="nl-NL"/>
        </w:rPr>
        <w:lastRenderedPageBreak/>
        <w:t>Bronnenlijst</w:t>
      </w:r>
      <w:bookmarkEnd w:id="66"/>
    </w:p>
    <w:p w14:paraId="02F7DF90" w14:textId="77777777" w:rsidR="00B3142E" w:rsidRDefault="00B3142E" w:rsidP="00B3142E">
      <w:pPr>
        <w:rPr>
          <w:lang w:eastAsia="nl-NL"/>
        </w:rPr>
      </w:pPr>
    </w:p>
    <w:p w14:paraId="7BAAFC5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ABN AMRO. (2022). Duurzaamheidsstrategie en beleidsrapport 2022. ABN AMRO Bank. Geraadpleegd op www.abnamro.com.</w:t>
      </w:r>
    </w:p>
    <w:p w14:paraId="699ED816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0DD4BF67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ABN AMRO. (2023). Jaarverslag Duurzaamheid 2023. ABN AMRO Bank. Geraadpleegd op www.abnamro.com.</w:t>
      </w:r>
    </w:p>
    <w:p w14:paraId="35BF8C1D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106F092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Aegon. (2022). Duurzaamheidsstrategie en beleidsdocument 2022. Aegon. Geraadpleegd op www.aegon.com.</w:t>
      </w:r>
    </w:p>
    <w:p w14:paraId="0EBE139A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2D02C1E7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Aegon. (2023a). Jaarverslag Duurzaamheid 2023. Aegon. Geraadpleegd op www.aegon.com.</w:t>
      </w:r>
    </w:p>
    <w:p w14:paraId="5DD59548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65CCC73E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Aegon. (2023b). Duurzaam Financieren en Klimaatstrategie 2023. Aegon. Geraadpleegd op www.aegon.com.</w:t>
      </w:r>
    </w:p>
    <w:p w14:paraId="7C04786D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528CE4CF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BLG Wonen. (2022). Duurzaamheidsverslag 2022. BLG Wonen. Geraadpleegd op www.blgwonen.nl.</w:t>
      </w:r>
    </w:p>
    <w:p w14:paraId="0232B2BE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6DFFD8D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BLG Wonen. (2023). Jaarverslag Duurzaamheid 2023. BLG Wonen. Geraadpleegd op www.blgwonen.nl.</w:t>
      </w:r>
    </w:p>
    <w:p w14:paraId="0B2DDA2B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791760FC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Centraal Beheer. (2022). Duurzaamheidsstrategie en Impactanalyse 2022. Centraal Beheer. Geraadpleegd op www.centraalbeheer.nl.</w:t>
      </w:r>
    </w:p>
    <w:p w14:paraId="10F09AB0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796AFE11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Centraal Beheer. (2023a). Jaarverslag Duurzaamheid 2023. Centraal Beheer. Geraadpleegd op www.centraalbeheer.nl.</w:t>
      </w:r>
    </w:p>
    <w:p w14:paraId="18A1D1DB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12FC85D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Centraal Beheer. (2023b). Duurzaam Financieren en Klimaatimpact 2023. Centraal Beheer. Geraadpleegd op www.centraalbeheer.nl.</w:t>
      </w:r>
    </w:p>
    <w:p w14:paraId="7CA672CC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188EEE14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MUNT Hypotheken. (2022). Duurzaamheidsstrategie en Beleidsdocument 2022. MUNT Hypotheken. Geraadpleegd op www.munthypotheken.nl.</w:t>
      </w:r>
    </w:p>
    <w:p w14:paraId="3E50336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25D00055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MUNT Hypotheken. (2023a). Duurzaamheidsrapport 2023. MUNT Hypotheken. Geraadpleegd op www.munthypotheken.nl.</w:t>
      </w:r>
    </w:p>
    <w:p w14:paraId="37A98C87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7E80F41A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MUNT Hypotheken. (2023b). Duurzaam Financieren en Innovatieve Hypotheken 2023. MUNT Hypotheken. Geraadpleegd op www.munthypotheken.nl.</w:t>
      </w:r>
    </w:p>
    <w:p w14:paraId="34217A37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035A51B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Philips Pensioenfonds. (2022). Beleidsdocument Duurzaamheid 2022. Philips Pensioenfonds. Geraadpleegd op www.philipspensioenfonds.nl.</w:t>
      </w:r>
    </w:p>
    <w:p w14:paraId="3AFCD89B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110E7BF7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Philips Pensioenfonds. (2023a). Jaarverslag 2023. Philips Pensioenfonds. Geraadpleegd op www.philipspensioenfonds.nl.</w:t>
      </w:r>
    </w:p>
    <w:p w14:paraId="73B67B68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3AA94C54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Philips Pensioenfonds. (2023b). Duurzaamheidsinitiatieven en Financiële Rapportage 2023. Philips Pensioenfonds. Geraadpleegd op www.philipspensioenfonds.nl.</w:t>
      </w:r>
    </w:p>
    <w:p w14:paraId="0BE1FCA0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77A52BE3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Rabobank. (2022). Duurzaamheidsstrategie en beleidsdocument 2022. Rabobank. Geraadpleegd op www.rabobank.com.</w:t>
      </w:r>
    </w:p>
    <w:p w14:paraId="16919249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69A5C6DF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Rabobank. (2023a). Jaarverslag Duurzaamheid 2023. Rabobank. Geraadpleegd op www.rabobank.com.</w:t>
      </w:r>
    </w:p>
    <w:p w14:paraId="17CB3660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69F1C0C9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Rabobank. (2023b). Duurzaam Financieren en Klimaatstrategie 2023. Rabobank. Geraadpleegd op www.rabobank.com.</w:t>
      </w:r>
    </w:p>
    <w:p w14:paraId="7A7DDCE5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49904363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Regiobank. (2022). Duurzaamheidsstrategie en impactrapport 2022. Regiobank. Geraadpleegd op www.regiobank.nl.</w:t>
      </w:r>
    </w:p>
    <w:p w14:paraId="3E761318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52C7494C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Regiobank. (2023a). Jaarverslag Duurzaamheid 2023. Regiobank. Geraadpleegd op www.regiobank.nl.</w:t>
      </w:r>
    </w:p>
    <w:p w14:paraId="4253D0AF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2479AEE1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Regiobank. (2023b). Duurzaam Financieren en Milieu-initiatieven 2023. Regiobank. Geraadpleegd op www.regiobank.nl.</w:t>
      </w:r>
    </w:p>
    <w:p w14:paraId="6B36B764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2D266660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>Triodos Bank. (2022). Duurzaamheidsverslag 2022. Triodos Bank. Geraadpleegd op www.triodos.com.</w:t>
      </w:r>
    </w:p>
    <w:p w14:paraId="35322BB2" w14:textId="77777777" w:rsidR="009739E4" w:rsidRPr="009739E4" w:rsidRDefault="009739E4" w:rsidP="009739E4">
      <w:pPr>
        <w:rPr>
          <w:rFonts w:ascii="Aptos" w:hAnsi="Aptos"/>
          <w:bCs w:val="0"/>
          <w:lang w:eastAsia="nl-NL"/>
        </w:rPr>
      </w:pPr>
    </w:p>
    <w:p w14:paraId="7DF2F53A" w14:textId="6111DE04" w:rsidR="009739E4" w:rsidRPr="007E2703" w:rsidRDefault="009739E4" w:rsidP="009739E4">
      <w:pPr>
        <w:rPr>
          <w:rFonts w:ascii="Aptos" w:hAnsi="Aptos"/>
          <w:bCs w:val="0"/>
          <w:lang w:eastAsia="nl-NL"/>
        </w:rPr>
      </w:pPr>
      <w:r w:rsidRPr="009739E4">
        <w:rPr>
          <w:rFonts w:ascii="Aptos" w:hAnsi="Aptos"/>
          <w:bCs w:val="0"/>
          <w:lang w:eastAsia="nl-NL"/>
        </w:rPr>
        <w:t xml:space="preserve">Triodos Bank. (2023). Duurzaam Financieren en Klimaatimpact 2023. Triodos Bank. Geraadpleegd op </w:t>
      </w:r>
      <w:hyperlink r:id="rId9" w:history="1">
        <w:r w:rsidRPr="00061390">
          <w:rPr>
            <w:rStyle w:val="Hyperlink"/>
            <w:rFonts w:ascii="Aptos" w:hAnsi="Aptos"/>
            <w:bCs w:val="0"/>
            <w:lang w:eastAsia="nl-NL"/>
          </w:rPr>
          <w:t>w</w:t>
        </w:r>
        <w:r w:rsidRPr="00061390">
          <w:rPr>
            <w:rStyle w:val="Hyperlink"/>
            <w:rFonts w:ascii="Aptos" w:hAnsi="Aptos"/>
            <w:bCs w:val="0"/>
            <w:lang w:eastAsia="nl-NL"/>
          </w:rPr>
          <w:t>ww.triodos.co</w:t>
        </w:r>
        <w:r w:rsidRPr="00061390">
          <w:rPr>
            <w:rStyle w:val="Hyperlink"/>
            <w:rFonts w:ascii="Aptos" w:hAnsi="Aptos"/>
            <w:bCs w:val="0"/>
            <w:lang w:eastAsia="nl-NL"/>
          </w:rPr>
          <w:t>m</w:t>
        </w:r>
      </w:hyperlink>
      <w:r>
        <w:rPr>
          <w:rFonts w:ascii="Aptos" w:hAnsi="Aptos"/>
          <w:bCs w:val="0"/>
          <w:lang w:eastAsia="nl-NL"/>
        </w:rPr>
        <w:t>.</w:t>
      </w:r>
    </w:p>
    <w:sectPr w:rsidR="009739E4" w:rsidRPr="007E2703" w:rsidSect="009666D4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8EFC8" w14:textId="77777777" w:rsidR="0049499A" w:rsidRDefault="0049499A" w:rsidP="009666D4">
      <w:r>
        <w:separator/>
      </w:r>
    </w:p>
  </w:endnote>
  <w:endnote w:type="continuationSeparator" w:id="0">
    <w:p w14:paraId="0BC5ACC1" w14:textId="77777777" w:rsidR="0049499A" w:rsidRDefault="0049499A" w:rsidP="0096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17911623"/>
      <w:docPartObj>
        <w:docPartGallery w:val="Page Numbers (Bottom of Page)"/>
        <w:docPartUnique/>
      </w:docPartObj>
    </w:sdtPr>
    <w:sdtContent>
      <w:p w14:paraId="59FD2322" w14:textId="42E005AE" w:rsidR="009666D4" w:rsidRDefault="009666D4" w:rsidP="00061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267902" w14:textId="77777777" w:rsidR="009666D4" w:rsidRDefault="009666D4" w:rsidP="009666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9621181"/>
      <w:docPartObj>
        <w:docPartGallery w:val="Page Numbers (Bottom of Page)"/>
        <w:docPartUnique/>
      </w:docPartObj>
    </w:sdtPr>
    <w:sdtContent>
      <w:p w14:paraId="75E46888" w14:textId="7347592A" w:rsidR="009666D4" w:rsidRDefault="009666D4" w:rsidP="000613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755902" w14:textId="77777777" w:rsidR="009666D4" w:rsidRDefault="009666D4" w:rsidP="009666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7317" w14:textId="77777777" w:rsidR="0049499A" w:rsidRDefault="0049499A" w:rsidP="009666D4">
      <w:r>
        <w:separator/>
      </w:r>
    </w:p>
  </w:footnote>
  <w:footnote w:type="continuationSeparator" w:id="0">
    <w:p w14:paraId="79680B61" w14:textId="77777777" w:rsidR="0049499A" w:rsidRDefault="0049499A" w:rsidP="0096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327D"/>
    <w:multiLevelType w:val="multilevel"/>
    <w:tmpl w:val="411A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E09D7"/>
    <w:multiLevelType w:val="multilevel"/>
    <w:tmpl w:val="4AD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C36E7"/>
    <w:multiLevelType w:val="multilevel"/>
    <w:tmpl w:val="EA7A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40FA"/>
    <w:multiLevelType w:val="multilevel"/>
    <w:tmpl w:val="CC20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66261"/>
    <w:multiLevelType w:val="multilevel"/>
    <w:tmpl w:val="BF9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B2035"/>
    <w:multiLevelType w:val="multilevel"/>
    <w:tmpl w:val="8CEE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64FB3"/>
    <w:multiLevelType w:val="multilevel"/>
    <w:tmpl w:val="9C1688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D1D35"/>
    <w:multiLevelType w:val="multilevel"/>
    <w:tmpl w:val="5D82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549F4"/>
    <w:multiLevelType w:val="multilevel"/>
    <w:tmpl w:val="91B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2C2E"/>
    <w:multiLevelType w:val="multilevel"/>
    <w:tmpl w:val="33A2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0C365B"/>
    <w:multiLevelType w:val="multilevel"/>
    <w:tmpl w:val="104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61633B"/>
    <w:multiLevelType w:val="multilevel"/>
    <w:tmpl w:val="560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0168A"/>
    <w:multiLevelType w:val="multilevel"/>
    <w:tmpl w:val="E3DA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F26AC4"/>
    <w:multiLevelType w:val="multilevel"/>
    <w:tmpl w:val="774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13A21"/>
    <w:multiLevelType w:val="multilevel"/>
    <w:tmpl w:val="756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434F50"/>
    <w:multiLevelType w:val="multilevel"/>
    <w:tmpl w:val="D5B2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A93250"/>
    <w:multiLevelType w:val="multilevel"/>
    <w:tmpl w:val="AB68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F02B50"/>
    <w:multiLevelType w:val="multilevel"/>
    <w:tmpl w:val="B9F6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E7893"/>
    <w:multiLevelType w:val="multilevel"/>
    <w:tmpl w:val="DA7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AB51CF"/>
    <w:multiLevelType w:val="multilevel"/>
    <w:tmpl w:val="5F4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F1D2F"/>
    <w:multiLevelType w:val="multilevel"/>
    <w:tmpl w:val="9E4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719DB"/>
    <w:multiLevelType w:val="multilevel"/>
    <w:tmpl w:val="1736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F6B92"/>
    <w:multiLevelType w:val="multilevel"/>
    <w:tmpl w:val="2544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05414"/>
    <w:multiLevelType w:val="multilevel"/>
    <w:tmpl w:val="731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191FF6"/>
    <w:multiLevelType w:val="multilevel"/>
    <w:tmpl w:val="CB9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000B71"/>
    <w:multiLevelType w:val="multilevel"/>
    <w:tmpl w:val="2FE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745118"/>
    <w:multiLevelType w:val="multilevel"/>
    <w:tmpl w:val="80F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0445A"/>
    <w:multiLevelType w:val="multilevel"/>
    <w:tmpl w:val="18CA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2C6B03"/>
    <w:multiLevelType w:val="multilevel"/>
    <w:tmpl w:val="50F8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912CA5"/>
    <w:multiLevelType w:val="multilevel"/>
    <w:tmpl w:val="BDC0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D6656"/>
    <w:multiLevelType w:val="multilevel"/>
    <w:tmpl w:val="9B44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AD25E4"/>
    <w:multiLevelType w:val="multilevel"/>
    <w:tmpl w:val="CE7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332390"/>
    <w:multiLevelType w:val="multilevel"/>
    <w:tmpl w:val="10BEA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F51052"/>
    <w:multiLevelType w:val="multilevel"/>
    <w:tmpl w:val="A35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76642"/>
    <w:multiLevelType w:val="multilevel"/>
    <w:tmpl w:val="8E5A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90D0B"/>
    <w:multiLevelType w:val="multilevel"/>
    <w:tmpl w:val="1376F1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673CF"/>
    <w:multiLevelType w:val="multilevel"/>
    <w:tmpl w:val="2018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CE284D"/>
    <w:multiLevelType w:val="multilevel"/>
    <w:tmpl w:val="914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D63A6E"/>
    <w:multiLevelType w:val="multilevel"/>
    <w:tmpl w:val="97E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252E9"/>
    <w:multiLevelType w:val="multilevel"/>
    <w:tmpl w:val="DF6E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506B8"/>
    <w:multiLevelType w:val="multilevel"/>
    <w:tmpl w:val="02D6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243BF7"/>
    <w:multiLevelType w:val="multilevel"/>
    <w:tmpl w:val="753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506F9E"/>
    <w:multiLevelType w:val="multilevel"/>
    <w:tmpl w:val="98A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BD39F6"/>
    <w:multiLevelType w:val="multilevel"/>
    <w:tmpl w:val="A5B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A5E69"/>
    <w:multiLevelType w:val="multilevel"/>
    <w:tmpl w:val="5DA2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755C9"/>
    <w:multiLevelType w:val="multilevel"/>
    <w:tmpl w:val="6C4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D15A12"/>
    <w:multiLevelType w:val="multilevel"/>
    <w:tmpl w:val="5ED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32829">
    <w:abstractNumId w:val="41"/>
  </w:num>
  <w:num w:numId="2" w16cid:durableId="1604418134">
    <w:abstractNumId w:val="34"/>
  </w:num>
  <w:num w:numId="3" w16cid:durableId="1673409670">
    <w:abstractNumId w:val="10"/>
  </w:num>
  <w:num w:numId="4" w16cid:durableId="313874951">
    <w:abstractNumId w:val="18"/>
  </w:num>
  <w:num w:numId="5" w16cid:durableId="1537886030">
    <w:abstractNumId w:val="45"/>
  </w:num>
  <w:num w:numId="6" w16cid:durableId="2064674830">
    <w:abstractNumId w:val="22"/>
  </w:num>
  <w:num w:numId="7" w16cid:durableId="434836860">
    <w:abstractNumId w:val="5"/>
  </w:num>
  <w:num w:numId="8" w16cid:durableId="2088990052">
    <w:abstractNumId w:val="38"/>
  </w:num>
  <w:num w:numId="9" w16cid:durableId="763691752">
    <w:abstractNumId w:val="29"/>
  </w:num>
  <w:num w:numId="10" w16cid:durableId="1305619598">
    <w:abstractNumId w:val="21"/>
  </w:num>
  <w:num w:numId="11" w16cid:durableId="2048682189">
    <w:abstractNumId w:val="0"/>
  </w:num>
  <w:num w:numId="12" w16cid:durableId="1695038520">
    <w:abstractNumId w:val="28"/>
  </w:num>
  <w:num w:numId="13" w16cid:durableId="91361073">
    <w:abstractNumId w:val="37"/>
  </w:num>
  <w:num w:numId="14" w16cid:durableId="1779518561">
    <w:abstractNumId w:val="42"/>
  </w:num>
  <w:num w:numId="15" w16cid:durableId="1153444780">
    <w:abstractNumId w:val="43"/>
  </w:num>
  <w:num w:numId="16" w16cid:durableId="897669902">
    <w:abstractNumId w:val="8"/>
  </w:num>
  <w:num w:numId="17" w16cid:durableId="249387061">
    <w:abstractNumId w:val="12"/>
  </w:num>
  <w:num w:numId="18" w16cid:durableId="1723017078">
    <w:abstractNumId w:val="14"/>
  </w:num>
  <w:num w:numId="19" w16cid:durableId="967198273">
    <w:abstractNumId w:val="3"/>
  </w:num>
  <w:num w:numId="20" w16cid:durableId="325132617">
    <w:abstractNumId w:val="33"/>
  </w:num>
  <w:num w:numId="21" w16cid:durableId="335618163">
    <w:abstractNumId w:val="19"/>
  </w:num>
  <w:num w:numId="22" w16cid:durableId="1897088279">
    <w:abstractNumId w:val="1"/>
  </w:num>
  <w:num w:numId="23" w16cid:durableId="105930288">
    <w:abstractNumId w:val="31"/>
  </w:num>
  <w:num w:numId="24" w16cid:durableId="337731227">
    <w:abstractNumId w:val="20"/>
  </w:num>
  <w:num w:numId="25" w16cid:durableId="575553771">
    <w:abstractNumId w:val="16"/>
  </w:num>
  <w:num w:numId="26" w16cid:durableId="1358892325">
    <w:abstractNumId w:val="17"/>
  </w:num>
  <w:num w:numId="27" w16cid:durableId="1364749897">
    <w:abstractNumId w:val="40"/>
  </w:num>
  <w:num w:numId="28" w16cid:durableId="483205792">
    <w:abstractNumId w:val="30"/>
  </w:num>
  <w:num w:numId="29" w16cid:durableId="1241907329">
    <w:abstractNumId w:val="32"/>
  </w:num>
  <w:num w:numId="30" w16cid:durableId="344788918">
    <w:abstractNumId w:val="6"/>
  </w:num>
  <w:num w:numId="31" w16cid:durableId="620040319">
    <w:abstractNumId w:val="35"/>
  </w:num>
  <w:num w:numId="32" w16cid:durableId="242378800">
    <w:abstractNumId w:val="26"/>
  </w:num>
  <w:num w:numId="33" w16cid:durableId="449478515">
    <w:abstractNumId w:val="27"/>
  </w:num>
  <w:num w:numId="34" w16cid:durableId="1412505271">
    <w:abstractNumId w:val="24"/>
  </w:num>
  <w:num w:numId="35" w16cid:durableId="879323537">
    <w:abstractNumId w:val="44"/>
  </w:num>
  <w:num w:numId="36" w16cid:durableId="1401320383">
    <w:abstractNumId w:val="15"/>
  </w:num>
  <w:num w:numId="37" w16cid:durableId="2139033856">
    <w:abstractNumId w:val="23"/>
  </w:num>
  <w:num w:numId="38" w16cid:durableId="1971276602">
    <w:abstractNumId w:val="39"/>
  </w:num>
  <w:num w:numId="39" w16cid:durableId="1112630235">
    <w:abstractNumId w:val="25"/>
  </w:num>
  <w:num w:numId="40" w16cid:durableId="1666201360">
    <w:abstractNumId w:val="4"/>
  </w:num>
  <w:num w:numId="41" w16cid:durableId="1741321914">
    <w:abstractNumId w:val="9"/>
  </w:num>
  <w:num w:numId="42" w16cid:durableId="1105886769">
    <w:abstractNumId w:val="13"/>
  </w:num>
  <w:num w:numId="43" w16cid:durableId="1676954705">
    <w:abstractNumId w:val="46"/>
  </w:num>
  <w:num w:numId="44" w16cid:durableId="1443107457">
    <w:abstractNumId w:val="7"/>
  </w:num>
  <w:num w:numId="45" w16cid:durableId="1180199718">
    <w:abstractNumId w:val="11"/>
  </w:num>
  <w:num w:numId="46" w16cid:durableId="229390581">
    <w:abstractNumId w:val="36"/>
  </w:num>
  <w:num w:numId="47" w16cid:durableId="53543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53"/>
    <w:rsid w:val="000F25BE"/>
    <w:rsid w:val="001A1599"/>
    <w:rsid w:val="002A7A83"/>
    <w:rsid w:val="003237B2"/>
    <w:rsid w:val="00400097"/>
    <w:rsid w:val="00412090"/>
    <w:rsid w:val="0049499A"/>
    <w:rsid w:val="005E49B1"/>
    <w:rsid w:val="00767387"/>
    <w:rsid w:val="007E2703"/>
    <w:rsid w:val="009147ED"/>
    <w:rsid w:val="009666D4"/>
    <w:rsid w:val="009739E4"/>
    <w:rsid w:val="00A222F8"/>
    <w:rsid w:val="00A94158"/>
    <w:rsid w:val="00B3142E"/>
    <w:rsid w:val="00C1007E"/>
    <w:rsid w:val="00C25A1D"/>
    <w:rsid w:val="00C75090"/>
    <w:rsid w:val="00CC4C53"/>
    <w:rsid w:val="00CE28DE"/>
    <w:rsid w:val="00CF5617"/>
    <w:rsid w:val="00E90099"/>
    <w:rsid w:val="00EA0155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DDAE9"/>
  <w14:defaultImageDpi w14:val="32767"/>
  <w15:chartTrackingRefBased/>
  <w15:docId w15:val="{D0BAFE41-3B8B-6747-830A-4757454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bCs/>
        <w:color w:val="000000"/>
        <w:sz w:val="24"/>
        <w:szCs w:val="27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66D4"/>
    <w:pPr>
      <w:keepNext/>
      <w:keepLines/>
      <w:spacing w:before="160" w:after="80"/>
      <w:outlineLvl w:val="2"/>
    </w:pPr>
    <w:rPr>
      <w:rFonts w:eastAsiaTheme="majorEastAsia" w:cstheme="majorBidi"/>
      <w:color w:val="538135" w:themeColor="accent6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6D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66D4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66D4"/>
    <w:rPr>
      <w:rFonts w:eastAsiaTheme="majorEastAsia" w:cstheme="majorBidi"/>
      <w:color w:val="538135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53"/>
    <w:rPr>
      <w:b/>
      <w:bCs w:val="0"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4C53"/>
    <w:rPr>
      <w:b/>
      <w:bCs w:val="0"/>
    </w:rPr>
  </w:style>
  <w:style w:type="paragraph" w:styleId="Revision">
    <w:name w:val="Revision"/>
    <w:hidden/>
    <w:uiPriority w:val="99"/>
    <w:semiHidden/>
    <w:rsid w:val="00A94158"/>
  </w:style>
  <w:style w:type="paragraph" w:styleId="NormalWeb">
    <w:name w:val="Normal (Web)"/>
    <w:basedOn w:val="Normal"/>
    <w:uiPriority w:val="99"/>
    <w:semiHidden/>
    <w:unhideWhenUsed/>
    <w:rsid w:val="00A94158"/>
    <w:pPr>
      <w:spacing w:before="100" w:beforeAutospacing="1" w:after="100" w:afterAutospacing="1"/>
    </w:pPr>
    <w:rPr>
      <w:rFonts w:ascii="Times New Roman" w:eastAsia="Times New Roman" w:hAnsi="Times New Roman"/>
      <w:lang w:eastAsia="nl-NL"/>
    </w:rPr>
  </w:style>
  <w:style w:type="table" w:styleId="TableGrid">
    <w:name w:val="Table Grid"/>
    <w:basedOn w:val="TableNormal"/>
    <w:uiPriority w:val="39"/>
    <w:rsid w:val="00FF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F20F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FF20F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FF20F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9147E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14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9666D4"/>
    <w:pPr>
      <w:ind w:left="480"/>
    </w:pPr>
    <w:rPr>
      <w:rFonts w:asciiTheme="minorHAnsi" w:hAnsiTheme="minorHAnsi" w:cstheme="minorHAnsi"/>
      <w:bCs w:val="0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66D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666D4"/>
    <w:pPr>
      <w:spacing w:before="120" w:after="120"/>
    </w:pPr>
    <w:rPr>
      <w:rFonts w:asciiTheme="minorHAnsi" w:hAnsiTheme="minorHAnsi" w:cstheme="minorHAnsi"/>
      <w:b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666D4"/>
    <w:pPr>
      <w:ind w:left="240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66D4"/>
    <w:pPr>
      <w:ind w:left="720"/>
    </w:pPr>
    <w:rPr>
      <w:rFonts w:asciiTheme="minorHAnsi" w:hAnsiTheme="minorHAnsi" w:cs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666D4"/>
    <w:pPr>
      <w:ind w:left="960"/>
    </w:pPr>
    <w:rPr>
      <w:rFonts w:asciiTheme="minorHAnsi" w:hAnsiTheme="minorHAnsi" w:cs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666D4"/>
    <w:pPr>
      <w:ind w:left="1200"/>
    </w:pPr>
    <w:rPr>
      <w:rFonts w:asciiTheme="minorHAnsi" w:hAnsiTheme="minorHAnsi" w:cs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666D4"/>
    <w:pPr>
      <w:ind w:left="1440"/>
    </w:pPr>
    <w:rPr>
      <w:rFonts w:asciiTheme="minorHAnsi" w:hAnsiTheme="minorHAnsi" w:cs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666D4"/>
    <w:pPr>
      <w:ind w:left="1680"/>
    </w:pPr>
    <w:rPr>
      <w:rFonts w:asciiTheme="minorHAnsi" w:hAnsiTheme="minorHAnsi" w:cs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666D4"/>
    <w:pPr>
      <w:ind w:left="1920"/>
    </w:pPr>
    <w:rPr>
      <w:rFonts w:asciiTheme="minorHAnsi" w:hAnsiTheme="minorHAnsi" w:cstheme="minorHAnsi"/>
      <w:bCs w:val="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666D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6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D4"/>
  </w:style>
  <w:style w:type="character" w:styleId="PageNumber">
    <w:name w:val="page number"/>
    <w:basedOn w:val="DefaultParagraphFont"/>
    <w:uiPriority w:val="99"/>
    <w:semiHidden/>
    <w:unhideWhenUsed/>
    <w:rsid w:val="009666D4"/>
  </w:style>
  <w:style w:type="character" w:styleId="Emphasis">
    <w:name w:val="Emphasis"/>
    <w:basedOn w:val="DefaultParagraphFont"/>
    <w:uiPriority w:val="20"/>
    <w:qFormat/>
    <w:rsid w:val="00B314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3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riodos.co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285A8-4BEE-7A4F-A87C-8190AA0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4562</Words>
  <Characters>26006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Elsen, Sjoerd van</dc:creator>
  <cp:keywords/>
  <dc:description/>
  <cp:lastModifiedBy>Hoogkamer, Jaap</cp:lastModifiedBy>
  <cp:revision>12</cp:revision>
  <dcterms:created xsi:type="dcterms:W3CDTF">2025-01-29T15:38:00Z</dcterms:created>
  <dcterms:modified xsi:type="dcterms:W3CDTF">2025-01-30T13:34:00Z</dcterms:modified>
</cp:coreProperties>
</file>